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E1720C" w14:textId="77777777" w:rsidR="00612301" w:rsidRPr="00573A27" w:rsidRDefault="00612301" w:rsidP="00612301">
      <w:pPr>
        <w:ind w:left="57" w:right="57"/>
        <w:mirrorIndents/>
        <w:jc w:val="center"/>
        <w:rPr>
          <w:rFonts w:eastAsia="Times New Roman" w:cs="Times New Roman"/>
          <w:b/>
          <w:bCs/>
          <w:szCs w:val="28"/>
          <w:lang w:eastAsia="es-ES"/>
        </w:rPr>
      </w:pPr>
      <w:r w:rsidRPr="00573A27">
        <w:rPr>
          <w:rFonts w:eastAsia="Times New Roman" w:cs="Times New Roman"/>
          <w:b/>
          <w:bCs/>
          <w:szCs w:val="28"/>
          <w:lang w:eastAsia="es-ES"/>
        </w:rPr>
        <w:t>REPÚBLICA DE COLOMBIA</w:t>
      </w:r>
    </w:p>
    <w:p w14:paraId="3DE0F287" w14:textId="77777777" w:rsidR="00612301" w:rsidRPr="00573A27" w:rsidRDefault="00612301" w:rsidP="00612301">
      <w:pPr>
        <w:ind w:left="57" w:right="57"/>
        <w:mirrorIndents/>
        <w:jc w:val="center"/>
        <w:rPr>
          <w:rFonts w:eastAsia="Times New Roman" w:cs="Times New Roman"/>
          <w:color w:val="0D0D0D" w:themeColor="text1" w:themeTint="F2"/>
          <w:szCs w:val="28"/>
          <w:lang w:eastAsia="es-ES"/>
        </w:rPr>
      </w:pPr>
      <w:r w:rsidRPr="00573A27">
        <w:rPr>
          <w:rFonts w:eastAsia="Times New Roman" w:cs="Times New Roman"/>
          <w:b/>
          <w:szCs w:val="28"/>
          <w:lang w:eastAsia="es-ES"/>
        </w:rPr>
        <w:object w:dxaOrig="2040" w:dyaOrig="1425" w14:anchorId="5DF7FC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71.25pt" o:ole="" fillcolor="window">
            <v:imagedata r:id="rId8" o:title=""/>
          </v:shape>
          <o:OLEObject Type="Embed" ProgID="Word.Picture.8" ShapeID="_x0000_i1025" DrawAspect="Content" ObjectID="_1601818343" r:id="rId9"/>
        </w:object>
      </w:r>
    </w:p>
    <w:p w14:paraId="79C4F969" w14:textId="77777777" w:rsidR="00612301" w:rsidRPr="00573A27" w:rsidRDefault="00612301" w:rsidP="00612301">
      <w:pPr>
        <w:ind w:left="57" w:right="57"/>
        <w:mirrorIndents/>
        <w:jc w:val="center"/>
        <w:rPr>
          <w:rFonts w:eastAsia="Times New Roman" w:cs="Times New Roman"/>
          <w:color w:val="0D0D0D" w:themeColor="text1" w:themeTint="F2"/>
          <w:szCs w:val="28"/>
          <w:lang w:eastAsia="es-ES"/>
        </w:rPr>
      </w:pPr>
      <w:r w:rsidRPr="00573A27">
        <w:rPr>
          <w:rFonts w:eastAsia="Times New Roman" w:cs="Times New Roman"/>
          <w:b/>
          <w:bCs/>
          <w:color w:val="0D0D0D" w:themeColor="text1" w:themeTint="F2"/>
          <w:szCs w:val="28"/>
          <w:lang w:eastAsia="es-ES"/>
        </w:rPr>
        <w:t>CORTE CONSTITUCIONAL</w:t>
      </w:r>
    </w:p>
    <w:p w14:paraId="14A11F38" w14:textId="77777777" w:rsidR="00612301" w:rsidRPr="00573A27" w:rsidRDefault="00612301" w:rsidP="00612301">
      <w:pPr>
        <w:jc w:val="center"/>
        <w:rPr>
          <w:rFonts w:cs="Times New Roman"/>
          <w:b/>
          <w:color w:val="0D0D0D" w:themeColor="text1" w:themeTint="F2"/>
          <w:szCs w:val="28"/>
        </w:rPr>
      </w:pPr>
      <w:r w:rsidRPr="00573A27">
        <w:rPr>
          <w:rFonts w:cs="Times New Roman"/>
          <w:b/>
          <w:color w:val="0D0D0D" w:themeColor="text1" w:themeTint="F2"/>
          <w:szCs w:val="28"/>
        </w:rPr>
        <w:t>SALA ESPECIAL DE SEGUIMIENTO SENTENCIA T-025 DE 2004</w:t>
      </w:r>
    </w:p>
    <w:p w14:paraId="04375461" w14:textId="77777777" w:rsidR="00612301" w:rsidRPr="00573A27" w:rsidRDefault="00612301" w:rsidP="00612301">
      <w:pPr>
        <w:rPr>
          <w:rFonts w:cs="Times New Roman"/>
          <w:color w:val="0D0D0D" w:themeColor="text1" w:themeTint="F2"/>
          <w:szCs w:val="28"/>
        </w:rPr>
      </w:pPr>
    </w:p>
    <w:p w14:paraId="59ACC715" w14:textId="46CD1B11" w:rsidR="00612301" w:rsidRPr="00573A27" w:rsidRDefault="009E6847" w:rsidP="00612301">
      <w:pPr>
        <w:jc w:val="center"/>
        <w:rPr>
          <w:rFonts w:cs="Times New Roman"/>
          <w:b/>
          <w:color w:val="0D0D0D" w:themeColor="text1" w:themeTint="F2"/>
          <w:szCs w:val="28"/>
        </w:rPr>
      </w:pPr>
      <w:r>
        <w:rPr>
          <w:rFonts w:cs="Times New Roman"/>
          <w:b/>
          <w:color w:val="0D0D0D" w:themeColor="text1" w:themeTint="F2"/>
          <w:szCs w:val="28"/>
        </w:rPr>
        <w:t xml:space="preserve">AUTO 684 </w:t>
      </w:r>
      <w:r w:rsidR="00E63140">
        <w:rPr>
          <w:rFonts w:cs="Times New Roman"/>
          <w:b/>
          <w:color w:val="0D0D0D" w:themeColor="text1" w:themeTint="F2"/>
          <w:szCs w:val="28"/>
        </w:rPr>
        <w:t>DE 2018</w:t>
      </w:r>
    </w:p>
    <w:p w14:paraId="545E5329" w14:textId="77777777" w:rsidR="00612301" w:rsidRPr="00573A27" w:rsidRDefault="00612301" w:rsidP="00612301">
      <w:pPr>
        <w:rPr>
          <w:rFonts w:cs="Times New Roman"/>
          <w:b/>
          <w:color w:val="0D0D0D" w:themeColor="text1" w:themeTint="F2"/>
          <w:szCs w:val="28"/>
        </w:rPr>
      </w:pPr>
    </w:p>
    <w:p w14:paraId="41A92044" w14:textId="77777777" w:rsidR="00612301" w:rsidRPr="00573A27" w:rsidRDefault="00612301" w:rsidP="00612301">
      <w:pPr>
        <w:ind w:left="4248"/>
        <w:rPr>
          <w:rFonts w:cs="Times New Roman"/>
          <w:b/>
          <w:color w:val="0D0D0D" w:themeColor="text1" w:themeTint="F2"/>
          <w:szCs w:val="28"/>
        </w:rPr>
      </w:pPr>
    </w:p>
    <w:p w14:paraId="1047986A" w14:textId="3D9CBEC9" w:rsidR="00612301" w:rsidRPr="00573A27" w:rsidRDefault="00612301" w:rsidP="002872D9">
      <w:pPr>
        <w:ind w:left="4248"/>
        <w:rPr>
          <w:rFonts w:cs="Times New Roman"/>
          <w:szCs w:val="28"/>
        </w:rPr>
      </w:pPr>
      <w:r w:rsidRPr="00573A27">
        <w:rPr>
          <w:rFonts w:cs="Times New Roman"/>
          <w:b/>
          <w:color w:val="0D0D0D" w:themeColor="text1" w:themeTint="F2"/>
          <w:szCs w:val="28"/>
        </w:rPr>
        <w:t>Referencia:</w:t>
      </w:r>
      <w:r w:rsidRPr="00573A27">
        <w:rPr>
          <w:rFonts w:cs="Times New Roman"/>
          <w:color w:val="0D0D0D" w:themeColor="text1" w:themeTint="F2"/>
          <w:szCs w:val="28"/>
        </w:rPr>
        <w:t xml:space="preserve"> </w:t>
      </w:r>
      <w:r w:rsidR="00E63140">
        <w:rPr>
          <w:rFonts w:cs="Times New Roman"/>
          <w:szCs w:val="28"/>
        </w:rPr>
        <w:t xml:space="preserve">Respuesta al Auto del 19 de septiembre de 2018, </w:t>
      </w:r>
      <w:r w:rsidR="000350F2">
        <w:rPr>
          <w:rFonts w:cs="Times New Roman"/>
          <w:szCs w:val="28"/>
        </w:rPr>
        <w:t xml:space="preserve">proferido </w:t>
      </w:r>
      <w:r w:rsidR="00E63140">
        <w:rPr>
          <w:rFonts w:cs="Times New Roman"/>
          <w:szCs w:val="28"/>
        </w:rPr>
        <w:t xml:space="preserve">por la Sala de Reconocimiento de Verdad, de Responsabilidad y de Determinación de los Hechos y Conductas </w:t>
      </w:r>
      <w:r w:rsidR="00EB5020">
        <w:rPr>
          <w:rFonts w:cs="Times New Roman"/>
          <w:szCs w:val="28"/>
        </w:rPr>
        <w:t>de la Jurisdicción Especial para la Paz</w:t>
      </w:r>
      <w:r>
        <w:rPr>
          <w:rFonts w:cs="Times New Roman"/>
          <w:szCs w:val="28"/>
        </w:rPr>
        <w:t>.</w:t>
      </w:r>
      <w:r w:rsidRPr="00573A27">
        <w:rPr>
          <w:rFonts w:cs="Times New Roman"/>
          <w:szCs w:val="28"/>
        </w:rPr>
        <w:t xml:space="preserve"> </w:t>
      </w:r>
    </w:p>
    <w:p w14:paraId="3D26F978" w14:textId="77777777" w:rsidR="00612301" w:rsidRPr="00573A27" w:rsidRDefault="00612301" w:rsidP="00612301">
      <w:pPr>
        <w:rPr>
          <w:rFonts w:cs="Times New Roman"/>
          <w:color w:val="0D0D0D" w:themeColor="text1" w:themeTint="F2"/>
          <w:szCs w:val="28"/>
        </w:rPr>
      </w:pPr>
    </w:p>
    <w:p w14:paraId="1B3D5740" w14:textId="3B80DA3A" w:rsidR="00612301" w:rsidRPr="00573A27" w:rsidRDefault="002A2BAF" w:rsidP="00612301">
      <w:pPr>
        <w:rPr>
          <w:rFonts w:cs="Times New Roman"/>
          <w:color w:val="0D0D0D" w:themeColor="text1" w:themeTint="F2"/>
          <w:szCs w:val="28"/>
        </w:rPr>
      </w:pPr>
      <w:r>
        <w:rPr>
          <w:rFonts w:cs="Times New Roman"/>
          <w:color w:val="0D0D0D" w:themeColor="text1" w:themeTint="F2"/>
          <w:szCs w:val="28"/>
        </w:rPr>
        <w:t xml:space="preserve">Bogotá D.C., </w:t>
      </w:r>
      <w:r w:rsidR="0032520F">
        <w:rPr>
          <w:rFonts w:cs="Times New Roman"/>
          <w:color w:val="0D0D0D" w:themeColor="text1" w:themeTint="F2"/>
          <w:szCs w:val="28"/>
        </w:rPr>
        <w:t>veintidós</w:t>
      </w:r>
      <w:r w:rsidR="007F44C2">
        <w:rPr>
          <w:rFonts w:cs="Times New Roman"/>
          <w:color w:val="0D0D0D" w:themeColor="text1" w:themeTint="F2"/>
          <w:szCs w:val="28"/>
        </w:rPr>
        <w:t xml:space="preserve"> </w:t>
      </w:r>
      <w:r>
        <w:rPr>
          <w:rFonts w:cs="Times New Roman"/>
          <w:color w:val="0D0D0D" w:themeColor="text1" w:themeTint="F2"/>
          <w:szCs w:val="28"/>
        </w:rPr>
        <w:t>(</w:t>
      </w:r>
      <w:r w:rsidR="009E6847">
        <w:rPr>
          <w:rFonts w:cs="Times New Roman"/>
          <w:color w:val="0D0D0D" w:themeColor="text1" w:themeTint="F2"/>
          <w:szCs w:val="28"/>
        </w:rPr>
        <w:t>22</w:t>
      </w:r>
      <w:r w:rsidR="00612301" w:rsidRPr="00573A27">
        <w:rPr>
          <w:rFonts w:cs="Times New Roman"/>
          <w:color w:val="0D0D0D" w:themeColor="text1" w:themeTint="F2"/>
          <w:szCs w:val="28"/>
        </w:rPr>
        <w:t xml:space="preserve">) de </w:t>
      </w:r>
      <w:r w:rsidR="00E63140">
        <w:rPr>
          <w:rFonts w:cs="Times New Roman"/>
          <w:color w:val="0D0D0D" w:themeColor="text1" w:themeTint="F2"/>
          <w:szCs w:val="28"/>
        </w:rPr>
        <w:t>octubre de dos mil dieciocho (2018</w:t>
      </w:r>
      <w:r w:rsidR="00612301" w:rsidRPr="00573A27">
        <w:rPr>
          <w:rFonts w:cs="Times New Roman"/>
          <w:color w:val="0D0D0D" w:themeColor="text1" w:themeTint="F2"/>
          <w:szCs w:val="28"/>
        </w:rPr>
        <w:t>).</w:t>
      </w:r>
    </w:p>
    <w:p w14:paraId="1B48DFE2" w14:textId="77777777" w:rsidR="00612301" w:rsidRPr="00573A27" w:rsidRDefault="00612301" w:rsidP="00612301">
      <w:pPr>
        <w:rPr>
          <w:rFonts w:cs="Times New Roman"/>
          <w:color w:val="0D0D0D" w:themeColor="text1" w:themeTint="F2"/>
          <w:szCs w:val="28"/>
        </w:rPr>
      </w:pPr>
    </w:p>
    <w:p w14:paraId="55C1AC54" w14:textId="1B4A3165" w:rsidR="00612301" w:rsidRPr="00573A27" w:rsidRDefault="00076229" w:rsidP="00612301">
      <w:pPr>
        <w:rPr>
          <w:rFonts w:cs="Times New Roman"/>
          <w:color w:val="0D0D0D" w:themeColor="text1" w:themeTint="F2"/>
          <w:szCs w:val="28"/>
        </w:rPr>
      </w:pPr>
      <w:r>
        <w:rPr>
          <w:rFonts w:cs="Times New Roman"/>
          <w:color w:val="0D0D0D" w:themeColor="text1" w:themeTint="F2"/>
          <w:szCs w:val="28"/>
        </w:rPr>
        <w:t>En virtud de la solicitud elevada por la Jurisdicción Especial para la Paz (JEP), l</w:t>
      </w:r>
      <w:r w:rsidR="00E63140">
        <w:rPr>
          <w:rFonts w:cs="Times New Roman"/>
          <w:color w:val="0D0D0D" w:themeColor="text1" w:themeTint="F2"/>
          <w:szCs w:val="28"/>
        </w:rPr>
        <w:t>a suscrita Magistrada Presidente</w:t>
      </w:r>
      <w:r w:rsidR="00612301" w:rsidRPr="00573A27">
        <w:rPr>
          <w:rFonts w:cs="Times New Roman"/>
          <w:color w:val="0D0D0D" w:themeColor="text1" w:themeTint="F2"/>
          <w:szCs w:val="28"/>
        </w:rPr>
        <w:t xml:space="preserve"> de la Sala Especial de Seguimiento a la </w:t>
      </w:r>
      <w:r w:rsidR="00E63140" w:rsidRPr="009F6D05">
        <w:rPr>
          <w:rFonts w:cs="Times New Roman"/>
          <w:b/>
          <w:color w:val="0D0D0D" w:themeColor="text1" w:themeTint="F2"/>
          <w:szCs w:val="28"/>
        </w:rPr>
        <w:t xml:space="preserve">Sentencia </w:t>
      </w:r>
      <w:r w:rsidR="00612301" w:rsidRPr="009F6D05">
        <w:rPr>
          <w:rFonts w:cs="Times New Roman"/>
          <w:b/>
          <w:color w:val="0D0D0D" w:themeColor="text1" w:themeTint="F2"/>
          <w:szCs w:val="28"/>
        </w:rPr>
        <w:t>T-025 de 2004</w:t>
      </w:r>
      <w:r w:rsidR="00612301" w:rsidRPr="00573A27">
        <w:rPr>
          <w:rFonts w:cs="Times New Roman"/>
          <w:color w:val="0D0D0D" w:themeColor="text1" w:themeTint="F2"/>
          <w:szCs w:val="28"/>
        </w:rPr>
        <w:t xml:space="preserve">, en uso de sus facultades constitucionales y legales, profiere el presente </w:t>
      </w:r>
      <w:r w:rsidR="00E63140" w:rsidRPr="00573A27">
        <w:rPr>
          <w:rFonts w:cs="Times New Roman"/>
          <w:color w:val="0D0D0D" w:themeColor="text1" w:themeTint="F2"/>
          <w:szCs w:val="28"/>
        </w:rPr>
        <w:t xml:space="preserve">Auto </w:t>
      </w:r>
      <w:r w:rsidR="00612301" w:rsidRPr="00573A27">
        <w:rPr>
          <w:rFonts w:cs="Times New Roman"/>
          <w:color w:val="0D0D0D" w:themeColor="text1" w:themeTint="F2"/>
          <w:szCs w:val="28"/>
        </w:rPr>
        <w:t>a partir de las siguientes,</w:t>
      </w:r>
    </w:p>
    <w:p w14:paraId="01FCFA72" w14:textId="77777777" w:rsidR="00612301" w:rsidRPr="00573A27" w:rsidRDefault="00612301" w:rsidP="00612301">
      <w:pPr>
        <w:rPr>
          <w:rFonts w:cs="Times New Roman"/>
          <w:color w:val="0D0D0D" w:themeColor="text1" w:themeTint="F2"/>
          <w:szCs w:val="28"/>
        </w:rPr>
      </w:pPr>
    </w:p>
    <w:p w14:paraId="6120986A" w14:textId="77777777" w:rsidR="00612301" w:rsidRPr="00573A27" w:rsidRDefault="00612301" w:rsidP="0096004F">
      <w:pPr>
        <w:pStyle w:val="Ttulo1"/>
      </w:pPr>
      <w:r w:rsidRPr="0096004F">
        <w:t>CONSIDERACIONES</w:t>
      </w:r>
    </w:p>
    <w:p w14:paraId="3A8412C5" w14:textId="77777777" w:rsidR="00612301" w:rsidRDefault="00612301" w:rsidP="00612301">
      <w:pPr>
        <w:contextualSpacing/>
        <w:rPr>
          <w:rFonts w:cs="Times New Roman"/>
          <w:color w:val="0D0D0D" w:themeColor="text1" w:themeTint="F2"/>
          <w:szCs w:val="28"/>
        </w:rPr>
      </w:pPr>
    </w:p>
    <w:p w14:paraId="77D0EE7F" w14:textId="77777777" w:rsidR="00E63140" w:rsidRPr="00E63140" w:rsidRDefault="00E63140" w:rsidP="0096004F">
      <w:pPr>
        <w:pStyle w:val="Ttulo2"/>
      </w:pPr>
      <w:r w:rsidRPr="00E63140">
        <w:t>Competencia de la Sala Especial</w:t>
      </w:r>
      <w:r>
        <w:t xml:space="preserve"> de Seguimiento a la Sentencia T-025 de 2004 de la Corte Constitucional</w:t>
      </w:r>
    </w:p>
    <w:p w14:paraId="255A83A9" w14:textId="77777777" w:rsidR="00E63140" w:rsidRPr="00573A27" w:rsidRDefault="00E63140" w:rsidP="00612301">
      <w:pPr>
        <w:contextualSpacing/>
        <w:rPr>
          <w:rFonts w:cs="Times New Roman"/>
          <w:color w:val="0D0D0D" w:themeColor="text1" w:themeTint="F2"/>
          <w:szCs w:val="28"/>
        </w:rPr>
      </w:pPr>
    </w:p>
    <w:p w14:paraId="1C79B83F" w14:textId="77777777" w:rsidR="00E63140" w:rsidRPr="00EB52E6" w:rsidRDefault="00E63140" w:rsidP="00E63140">
      <w:pPr>
        <w:numPr>
          <w:ilvl w:val="0"/>
          <w:numId w:val="2"/>
        </w:numPr>
        <w:tabs>
          <w:tab w:val="left" w:pos="284"/>
        </w:tabs>
        <w:ind w:left="0" w:firstLine="0"/>
        <w:rPr>
          <w:rFonts w:cs="Times New Roman"/>
          <w:szCs w:val="28"/>
        </w:rPr>
      </w:pPr>
      <w:r w:rsidRPr="00EB52E6">
        <w:rPr>
          <w:rFonts w:cs="Times New Roman"/>
          <w:szCs w:val="28"/>
        </w:rPr>
        <w:t xml:space="preserve">La Corte Constitucional, en </w:t>
      </w:r>
      <w:r w:rsidRPr="00E63140">
        <w:rPr>
          <w:rFonts w:cs="Times New Roman"/>
          <w:b/>
          <w:szCs w:val="28"/>
        </w:rPr>
        <w:t>Sentencia</w:t>
      </w:r>
      <w:r w:rsidRPr="00EB52E6">
        <w:rPr>
          <w:rFonts w:cs="Times New Roman"/>
          <w:szCs w:val="28"/>
        </w:rPr>
        <w:t xml:space="preserve"> </w:t>
      </w:r>
      <w:r w:rsidRPr="006B350A">
        <w:rPr>
          <w:rFonts w:cs="Times New Roman"/>
          <w:b/>
          <w:szCs w:val="28"/>
        </w:rPr>
        <w:t>T-025 de 2004</w:t>
      </w:r>
      <w:r w:rsidRPr="00EB52E6">
        <w:rPr>
          <w:rFonts w:cs="Times New Roman"/>
          <w:szCs w:val="28"/>
        </w:rPr>
        <w:t xml:space="preserve">, declaró la existencia de un Estado de Cosas Inconstitucional </w:t>
      </w:r>
      <w:r>
        <w:rPr>
          <w:rFonts w:cs="Times New Roman"/>
          <w:szCs w:val="28"/>
        </w:rPr>
        <w:t xml:space="preserve">(ECI) </w:t>
      </w:r>
      <w:r w:rsidRPr="00EB52E6">
        <w:rPr>
          <w:rFonts w:cs="Times New Roman"/>
          <w:szCs w:val="28"/>
        </w:rPr>
        <w:t>en materia de desplazamiento forzado, al constatar la vulneración masiva, sistemática y grave de los derechos fundamentales de la población desplazada en el país, producto no sólo de las causas asociadas a la violencia generalizada, sino también debido a la precaria capacidad institucional del Estado colombiano para atender a dicha población</w:t>
      </w:r>
      <w:r>
        <w:rPr>
          <w:rFonts w:cs="Times New Roman"/>
          <w:szCs w:val="28"/>
        </w:rPr>
        <w:t xml:space="preserve">, </w:t>
      </w:r>
      <w:r w:rsidRPr="00EB52E6">
        <w:rPr>
          <w:rFonts w:cs="Times New Roman"/>
          <w:szCs w:val="28"/>
        </w:rPr>
        <w:t>y</w:t>
      </w:r>
      <w:r>
        <w:rPr>
          <w:rFonts w:cs="Times New Roman"/>
          <w:szCs w:val="28"/>
        </w:rPr>
        <w:t xml:space="preserve"> a</w:t>
      </w:r>
      <w:r w:rsidRPr="00EB52E6">
        <w:rPr>
          <w:rFonts w:cs="Times New Roman"/>
          <w:szCs w:val="28"/>
        </w:rPr>
        <w:t xml:space="preserve"> la insuficiencia de los recursos asignados para este propósito. </w:t>
      </w:r>
    </w:p>
    <w:p w14:paraId="049E182A" w14:textId="77777777" w:rsidR="00E63140" w:rsidRPr="00EB52E6" w:rsidRDefault="00E63140" w:rsidP="00E63140">
      <w:pPr>
        <w:tabs>
          <w:tab w:val="left" w:pos="1623"/>
        </w:tabs>
        <w:rPr>
          <w:rFonts w:cs="Times New Roman"/>
          <w:szCs w:val="28"/>
        </w:rPr>
      </w:pPr>
      <w:r>
        <w:rPr>
          <w:rFonts w:cs="Times New Roman"/>
          <w:szCs w:val="28"/>
        </w:rPr>
        <w:tab/>
      </w:r>
    </w:p>
    <w:p w14:paraId="4011BD7A" w14:textId="77777777" w:rsidR="00E63140" w:rsidRPr="0023183B" w:rsidRDefault="00E63140" w:rsidP="00E63140">
      <w:pPr>
        <w:numPr>
          <w:ilvl w:val="0"/>
          <w:numId w:val="2"/>
        </w:numPr>
        <w:tabs>
          <w:tab w:val="left" w:pos="284"/>
        </w:tabs>
        <w:ind w:left="0" w:firstLine="0"/>
        <w:rPr>
          <w:rFonts w:cs="Times New Roman"/>
          <w:szCs w:val="28"/>
        </w:rPr>
      </w:pPr>
      <w:r w:rsidRPr="00EB52E6">
        <w:rPr>
          <w:rFonts w:cs="Times New Roman"/>
          <w:szCs w:val="28"/>
        </w:rPr>
        <w:t xml:space="preserve">Posteriormente, considerando que de acuerdo con el artículo 27 del Decreto 2591 de 1991 </w:t>
      </w:r>
      <w:r w:rsidRPr="00EB52E6">
        <w:rPr>
          <w:rFonts w:cs="Times New Roman"/>
          <w:i/>
          <w:szCs w:val="28"/>
        </w:rPr>
        <w:t>“el juez establecerá los demás efectos del fallo para el caso concreto y mantendrá la competencia hasta que esté completamente restablecido el derecho o eliminadas las causas de la amenaza”</w:t>
      </w:r>
      <w:r w:rsidRPr="00EB52E6">
        <w:rPr>
          <w:rFonts w:cs="Times New Roman"/>
          <w:szCs w:val="28"/>
        </w:rPr>
        <w:t>, esta Corporación resolvió conservar la competencia para verificar el cumplimiento de sus órdenes y asegurar que las autoridades adopten las medidas necesarias para garantizar el goce efectivo de los derechos fundamentales de la población desplazada. Para estos efectos, adicionalmente, decidió conformar una Sala Especial de Seguimiento</w:t>
      </w:r>
      <w:r>
        <w:rPr>
          <w:rFonts w:cs="Times New Roman"/>
          <w:szCs w:val="28"/>
        </w:rPr>
        <w:t>,</w:t>
      </w:r>
      <w:r w:rsidRPr="00EB52E6">
        <w:rPr>
          <w:rFonts w:cs="Times New Roman"/>
          <w:szCs w:val="28"/>
        </w:rPr>
        <w:t xml:space="preserve"> en tanto órgano especializado de la Sala Plena</w:t>
      </w:r>
      <w:r>
        <w:rPr>
          <w:rFonts w:cs="Times New Roman"/>
          <w:szCs w:val="28"/>
        </w:rPr>
        <w:t xml:space="preserve"> para </w:t>
      </w:r>
      <w:r>
        <w:rPr>
          <w:rFonts w:cs="Times New Roman"/>
          <w:szCs w:val="28"/>
        </w:rPr>
        <w:lastRenderedPageBreak/>
        <w:t>monitorear los avances y los rezagos presentados por las autoridades responsables en la superación del ECI declarado en el 2004</w:t>
      </w:r>
      <w:r>
        <w:rPr>
          <w:rStyle w:val="Refdenotaalpie"/>
          <w:rFonts w:cs="Times New Roman"/>
          <w:szCs w:val="28"/>
        </w:rPr>
        <w:footnoteReference w:id="1"/>
      </w:r>
      <w:r>
        <w:rPr>
          <w:rFonts w:cs="Times New Roman"/>
          <w:szCs w:val="28"/>
        </w:rPr>
        <w:t>.</w:t>
      </w:r>
    </w:p>
    <w:p w14:paraId="039ED055" w14:textId="77777777" w:rsidR="00E63140" w:rsidRPr="00E63140" w:rsidRDefault="00E63140" w:rsidP="00E63140">
      <w:pPr>
        <w:rPr>
          <w:rFonts w:cs="Times New Roman"/>
          <w:color w:val="0D0D0D" w:themeColor="text1" w:themeTint="F2"/>
          <w:szCs w:val="28"/>
        </w:rPr>
      </w:pPr>
    </w:p>
    <w:p w14:paraId="7EAB0CA4" w14:textId="442F9CD4" w:rsidR="00987C1F" w:rsidRDefault="00987C1F" w:rsidP="00987C1F">
      <w:pPr>
        <w:pStyle w:val="Ttulo2"/>
        <w:tabs>
          <w:tab w:val="left" w:pos="426"/>
        </w:tabs>
        <w:rPr>
          <w:lang w:val="es-ES"/>
        </w:rPr>
      </w:pPr>
      <w:bookmarkStart w:id="0" w:name="_Toc500864271"/>
      <w:r>
        <w:rPr>
          <w:lang w:val="es-ES"/>
        </w:rPr>
        <w:t xml:space="preserve">Decisiones adoptadas por la </w:t>
      </w:r>
      <w:r w:rsidR="005B2A28">
        <w:rPr>
          <w:lang w:val="es-ES"/>
        </w:rPr>
        <w:t>Sala Especial de seguimiento</w:t>
      </w:r>
      <w:r>
        <w:rPr>
          <w:lang w:val="es-ES"/>
        </w:rPr>
        <w:t xml:space="preserve"> en relación con las</w:t>
      </w:r>
      <w:bookmarkEnd w:id="0"/>
      <w:r>
        <w:rPr>
          <w:lang w:val="es-ES"/>
        </w:rPr>
        <w:t xml:space="preserve"> poblaciones de los municipios de Barbacoas, Ricaurte y Tumaco</w:t>
      </w:r>
    </w:p>
    <w:p w14:paraId="0310DF86" w14:textId="77777777" w:rsidR="00E63140" w:rsidRPr="00987C1F" w:rsidRDefault="00E63140" w:rsidP="00987C1F">
      <w:pPr>
        <w:rPr>
          <w:rFonts w:cs="Times New Roman"/>
          <w:color w:val="0D0D0D" w:themeColor="text1" w:themeTint="F2"/>
          <w:szCs w:val="28"/>
        </w:rPr>
      </w:pPr>
    </w:p>
    <w:p w14:paraId="395BD98B" w14:textId="71A038A5" w:rsidR="007F1EE3" w:rsidRDefault="007F1EE3" w:rsidP="007F1EE3">
      <w:pPr>
        <w:numPr>
          <w:ilvl w:val="0"/>
          <w:numId w:val="2"/>
        </w:numPr>
        <w:tabs>
          <w:tab w:val="left" w:pos="284"/>
        </w:tabs>
        <w:ind w:left="0" w:firstLine="0"/>
        <w:rPr>
          <w:rFonts w:cs="Times New Roman"/>
          <w:szCs w:val="28"/>
        </w:rPr>
      </w:pPr>
      <w:r>
        <w:rPr>
          <w:rFonts w:cs="Times New Roman"/>
          <w:szCs w:val="28"/>
        </w:rPr>
        <w:t xml:space="preserve">En </w:t>
      </w:r>
      <w:r w:rsidR="00B35014">
        <w:rPr>
          <w:rFonts w:cs="Times New Roman"/>
          <w:szCs w:val="28"/>
        </w:rPr>
        <w:t xml:space="preserve">la </w:t>
      </w:r>
      <w:r w:rsidRPr="0080423B">
        <w:rPr>
          <w:rFonts w:cs="Times New Roman"/>
          <w:b/>
          <w:szCs w:val="28"/>
        </w:rPr>
        <w:t>Sentencia T-025 de 2004</w:t>
      </w:r>
      <w:r>
        <w:rPr>
          <w:rFonts w:cs="Times New Roman"/>
          <w:szCs w:val="28"/>
        </w:rPr>
        <w:t>, la Corte Constitucional señaló que no habían sido</w:t>
      </w:r>
      <w:r w:rsidR="00B35014">
        <w:rPr>
          <w:rFonts w:cs="Times New Roman"/>
          <w:szCs w:val="28"/>
        </w:rPr>
        <w:t xml:space="preserve"> </w:t>
      </w:r>
      <w:r>
        <w:rPr>
          <w:rFonts w:cs="Times New Roman"/>
          <w:i/>
          <w:szCs w:val="28"/>
        </w:rPr>
        <w:t>“reglamentadas las políticas que faciliten el acceso a la oferta institucional a los grupos desplazados en situación de mayor debilidad, tales como las mujeres cabeza de familia, los niños, o los grupos étnicos”</w:t>
      </w:r>
      <w:r>
        <w:rPr>
          <w:rFonts w:cs="Times New Roman"/>
          <w:szCs w:val="28"/>
        </w:rPr>
        <w:t xml:space="preserve">. En tal virtud, mediante </w:t>
      </w:r>
      <w:r w:rsidR="00DB541F" w:rsidRPr="0080423B">
        <w:rPr>
          <w:rFonts w:cs="Times New Roman"/>
          <w:b/>
          <w:szCs w:val="28"/>
        </w:rPr>
        <w:t xml:space="preserve">Auto </w:t>
      </w:r>
      <w:r w:rsidRPr="0080423B">
        <w:rPr>
          <w:rFonts w:cs="Times New Roman"/>
          <w:b/>
          <w:szCs w:val="28"/>
        </w:rPr>
        <w:t>218 de 2006</w:t>
      </w:r>
      <w:r>
        <w:rPr>
          <w:rFonts w:cs="Times New Roman"/>
          <w:szCs w:val="28"/>
        </w:rPr>
        <w:t xml:space="preserve"> esta Corporación resaltó la necesidad de diseñar e implementar una perspectiva diferencial integral y transversal a toda la política pública de prevención, protección y atención a la población desplazada, que reconozca que este fenómeno afecta de forma distinta y agravada a la</w:t>
      </w:r>
      <w:r w:rsidR="00DB541F">
        <w:rPr>
          <w:rFonts w:cs="Times New Roman"/>
          <w:szCs w:val="28"/>
        </w:rPr>
        <w:t>s mujeres, niños, niñas, adolescentes, a la</w:t>
      </w:r>
      <w:r>
        <w:rPr>
          <w:rFonts w:cs="Times New Roman"/>
          <w:szCs w:val="28"/>
        </w:rPr>
        <w:t xml:space="preserve"> población afrodescendiente e indígena </w:t>
      </w:r>
      <w:r w:rsidR="00DB541F">
        <w:rPr>
          <w:rFonts w:cs="Times New Roman"/>
          <w:szCs w:val="28"/>
        </w:rPr>
        <w:t>y a las personas con discapacidad en situación de desplazamiento</w:t>
      </w:r>
      <w:r>
        <w:rPr>
          <w:rFonts w:cs="Times New Roman"/>
          <w:szCs w:val="28"/>
        </w:rPr>
        <w:t xml:space="preserve">, especialmente al considerar que se tratan de sujetos de especial protección constitucional. </w:t>
      </w:r>
    </w:p>
    <w:p w14:paraId="13B57661" w14:textId="77777777" w:rsidR="009755E3" w:rsidRDefault="009755E3" w:rsidP="009755E3">
      <w:pPr>
        <w:tabs>
          <w:tab w:val="left" w:pos="284"/>
        </w:tabs>
        <w:rPr>
          <w:rFonts w:cs="Times New Roman"/>
          <w:szCs w:val="28"/>
        </w:rPr>
      </w:pPr>
    </w:p>
    <w:p w14:paraId="338B194B" w14:textId="77777777" w:rsidR="00790989" w:rsidRDefault="009755E3" w:rsidP="00790989">
      <w:pPr>
        <w:numPr>
          <w:ilvl w:val="0"/>
          <w:numId w:val="2"/>
        </w:numPr>
        <w:tabs>
          <w:tab w:val="left" w:pos="284"/>
        </w:tabs>
        <w:ind w:left="0" w:firstLine="0"/>
        <w:rPr>
          <w:rFonts w:cs="Times New Roman"/>
          <w:szCs w:val="28"/>
        </w:rPr>
      </w:pPr>
      <w:r w:rsidRPr="006916E6">
        <w:rPr>
          <w:rFonts w:cs="Times New Roman"/>
          <w:szCs w:val="28"/>
        </w:rPr>
        <w:t xml:space="preserve">Conforme con lo anterior, </w:t>
      </w:r>
      <w:r w:rsidR="006916E6" w:rsidRPr="006916E6">
        <w:rPr>
          <w:rFonts w:cs="Times New Roman"/>
          <w:szCs w:val="28"/>
        </w:rPr>
        <w:t xml:space="preserve">esta Corporación dictó el </w:t>
      </w:r>
      <w:r w:rsidR="006916E6" w:rsidRPr="006916E6">
        <w:rPr>
          <w:rFonts w:cs="Times New Roman"/>
          <w:b/>
          <w:szCs w:val="28"/>
        </w:rPr>
        <w:t>Auto 092 de 2008</w:t>
      </w:r>
      <w:r w:rsidR="006916E6" w:rsidRPr="006916E6">
        <w:rPr>
          <w:rFonts w:cs="Times New Roman"/>
          <w:szCs w:val="28"/>
        </w:rPr>
        <w:t xml:space="preserve"> y ordenó al Gobierno Nacional la adopción de una serie de programas para la protección de los derechos de las mujeres en situación de desplazamiento</w:t>
      </w:r>
      <w:r w:rsidR="00E031B8">
        <w:rPr>
          <w:rStyle w:val="Refdenotaalpie"/>
          <w:rFonts w:cs="Times New Roman"/>
          <w:szCs w:val="28"/>
        </w:rPr>
        <w:footnoteReference w:id="2"/>
      </w:r>
      <w:r w:rsidR="006916E6" w:rsidRPr="006916E6">
        <w:rPr>
          <w:rFonts w:cs="Times New Roman"/>
          <w:szCs w:val="28"/>
        </w:rPr>
        <w:t xml:space="preserve">. Esto, por cuanto la Corte constató que la situación de las jóvenes, niñas y adultas víctimas de desplazamiento forzado constituía una de las manifestaciones más críticas del Estado de Cosas Inconstitucional puesto que sus derechos –a pesar de contar con una protección constitucional múltiple y reforzada– eran vulnerados de forma sistemática, extendida y masiva a lo largo del territorio nacional, al tiempo en que la respuesta institucional </w:t>
      </w:r>
      <w:r w:rsidR="006916E6">
        <w:rPr>
          <w:rFonts w:cs="Times New Roman"/>
          <w:szCs w:val="28"/>
        </w:rPr>
        <w:t xml:space="preserve">resultaba insuficiente y la política pública </w:t>
      </w:r>
      <w:r w:rsidR="00395D95">
        <w:rPr>
          <w:rFonts w:cs="Times New Roman"/>
          <w:szCs w:val="28"/>
        </w:rPr>
        <w:t xml:space="preserve">dispuesta para su atención </w:t>
      </w:r>
      <w:r w:rsidR="006916E6">
        <w:rPr>
          <w:rFonts w:cs="Times New Roman"/>
          <w:szCs w:val="28"/>
        </w:rPr>
        <w:t xml:space="preserve">presentaba vacíos que hacían más grave </w:t>
      </w:r>
      <w:r w:rsidR="00395D95">
        <w:rPr>
          <w:rFonts w:cs="Times New Roman"/>
          <w:szCs w:val="28"/>
        </w:rPr>
        <w:t>su condición</w:t>
      </w:r>
      <w:r w:rsidR="006916E6">
        <w:rPr>
          <w:rFonts w:cs="Times New Roman"/>
          <w:szCs w:val="28"/>
        </w:rPr>
        <w:t xml:space="preserve">. </w:t>
      </w:r>
    </w:p>
    <w:p w14:paraId="7A56129B" w14:textId="77777777" w:rsidR="00C313E7" w:rsidRDefault="00C313E7" w:rsidP="00C313E7">
      <w:pPr>
        <w:pStyle w:val="Prrafodelista"/>
        <w:rPr>
          <w:rFonts w:cs="Times New Roman"/>
          <w:szCs w:val="28"/>
        </w:rPr>
      </w:pPr>
    </w:p>
    <w:p w14:paraId="5314C5A2" w14:textId="75D811C3" w:rsidR="00C313E7" w:rsidRPr="00624311" w:rsidRDefault="00C313E7" w:rsidP="00C313E7">
      <w:pPr>
        <w:numPr>
          <w:ilvl w:val="0"/>
          <w:numId w:val="2"/>
        </w:numPr>
        <w:tabs>
          <w:tab w:val="left" w:pos="284"/>
        </w:tabs>
        <w:ind w:left="0" w:firstLine="0"/>
        <w:rPr>
          <w:rFonts w:eastAsia="Times New Roman" w:cs="Times New Roman"/>
          <w:color w:val="2D2D2D"/>
          <w:szCs w:val="28"/>
          <w:bdr w:val="none" w:sz="0" w:space="0" w:color="auto" w:frame="1"/>
          <w:lang w:val="es-MX" w:eastAsia="es-ES"/>
        </w:rPr>
      </w:pPr>
      <w:r w:rsidRPr="00C313E7">
        <w:rPr>
          <w:rFonts w:cs="Times New Roman"/>
          <w:szCs w:val="28"/>
        </w:rPr>
        <w:t xml:space="preserve">Posteriormente, al analizar el cumplimiento de esta providencia, la Corte Constitucional encontró que las mujeres afrontan un riesgo de género específico derivado de su pertenencia a organizaciones comunitarias o políticas, o a sus labores de liderazgo y promoción de los </w:t>
      </w:r>
      <w:r w:rsidRPr="002C421C">
        <w:rPr>
          <w:rFonts w:cs="Times New Roman"/>
          <w:szCs w:val="28"/>
        </w:rPr>
        <w:t xml:space="preserve">derechos humanos. Riesgo que, a partir del 2009 se agravó. En consecuencia, mediante el </w:t>
      </w:r>
      <w:r w:rsidRPr="002C421C">
        <w:rPr>
          <w:rFonts w:cs="Times New Roman"/>
          <w:b/>
          <w:szCs w:val="28"/>
        </w:rPr>
        <w:t>Auto 098 de 2013</w:t>
      </w:r>
      <w:r w:rsidRPr="002C421C">
        <w:rPr>
          <w:rFonts w:cs="Times New Roman"/>
          <w:szCs w:val="28"/>
        </w:rPr>
        <w:t xml:space="preserve">, esta Sala Especial </w:t>
      </w:r>
      <w:r w:rsidR="002C421C">
        <w:rPr>
          <w:rFonts w:cs="Times New Roman"/>
          <w:szCs w:val="28"/>
        </w:rPr>
        <w:t>conminó</w:t>
      </w:r>
      <w:r w:rsidRPr="002C421C">
        <w:rPr>
          <w:rFonts w:cs="Times New Roman"/>
          <w:szCs w:val="28"/>
        </w:rPr>
        <w:t xml:space="preserve"> </w:t>
      </w:r>
      <w:r w:rsidRPr="002C421C">
        <w:rPr>
          <w:rFonts w:cs="Times New Roman"/>
          <w:szCs w:val="28"/>
          <w:lang w:val="es-ES_tradnl"/>
        </w:rPr>
        <w:t>“</w:t>
      </w:r>
      <w:r w:rsidRPr="002C421C">
        <w:rPr>
          <w:rFonts w:cs="Times New Roman"/>
          <w:i/>
          <w:szCs w:val="28"/>
          <w:lang w:val="es-ES_tradnl"/>
        </w:rPr>
        <w:t>a las entidades competentes a redoblar sus esfuerzos para evitar la perpetuidad de esta situación de cara a contener la continuidad</w:t>
      </w:r>
      <w:r w:rsidRPr="00C313E7">
        <w:rPr>
          <w:rFonts w:cs="Times New Roman"/>
          <w:i/>
          <w:szCs w:val="28"/>
          <w:lang w:val="es-ES_tradnl"/>
        </w:rPr>
        <w:t xml:space="preserve"> del impacto desproporcionado, agravado y desproporcionado del conflicto armado interno y del desplazamiento forzado sobre las mujeres defensoras de derechos humanos</w:t>
      </w:r>
      <w:r w:rsidRPr="00C313E7">
        <w:rPr>
          <w:rFonts w:cs="Times New Roman"/>
          <w:szCs w:val="28"/>
          <w:lang w:val="es-ES_tradnl"/>
        </w:rPr>
        <w:t>”</w:t>
      </w:r>
      <w:r w:rsidRPr="00895593">
        <w:rPr>
          <w:rStyle w:val="Refdenotaalpie"/>
          <w:rFonts w:cs="Times New Roman"/>
          <w:szCs w:val="28"/>
          <w:lang w:val="es-ES_tradnl"/>
        </w:rPr>
        <w:footnoteReference w:id="3"/>
      </w:r>
      <w:r w:rsidRPr="00C313E7">
        <w:rPr>
          <w:rFonts w:cs="Times New Roman"/>
          <w:szCs w:val="28"/>
          <w:lang w:val="es-ES_tradnl"/>
        </w:rPr>
        <w:t>.</w:t>
      </w:r>
      <w:r w:rsidR="00A97F73">
        <w:rPr>
          <w:rFonts w:cs="Times New Roman"/>
          <w:szCs w:val="28"/>
          <w:lang w:val="es-ES_tradnl"/>
        </w:rPr>
        <w:t xml:space="preserve"> </w:t>
      </w:r>
    </w:p>
    <w:p w14:paraId="5EEEC578" w14:textId="77777777" w:rsidR="00624311" w:rsidRDefault="00624311" w:rsidP="00624311">
      <w:pPr>
        <w:pStyle w:val="Prrafodelista"/>
        <w:rPr>
          <w:rFonts w:eastAsia="Times New Roman" w:cs="Times New Roman"/>
          <w:color w:val="2D2D2D"/>
          <w:szCs w:val="28"/>
          <w:bdr w:val="none" w:sz="0" w:space="0" w:color="auto" w:frame="1"/>
          <w:lang w:val="es-MX" w:eastAsia="es-ES"/>
        </w:rPr>
      </w:pPr>
    </w:p>
    <w:p w14:paraId="091A82D6" w14:textId="2AAA04A9" w:rsidR="007021A4" w:rsidRPr="007021A4" w:rsidRDefault="00624311" w:rsidP="00624311">
      <w:pPr>
        <w:numPr>
          <w:ilvl w:val="0"/>
          <w:numId w:val="2"/>
        </w:numPr>
        <w:tabs>
          <w:tab w:val="left" w:pos="284"/>
        </w:tabs>
        <w:ind w:left="0" w:firstLine="0"/>
        <w:rPr>
          <w:rFonts w:eastAsia="Times New Roman" w:cs="Times New Roman"/>
          <w:color w:val="2D2D2D"/>
          <w:szCs w:val="28"/>
          <w:bdr w:val="none" w:sz="0" w:space="0" w:color="auto" w:frame="1"/>
          <w:lang w:val="es-MX" w:eastAsia="es-ES"/>
        </w:rPr>
      </w:pPr>
      <w:r>
        <w:rPr>
          <w:rFonts w:eastAsia="Times New Roman" w:cs="Times New Roman"/>
          <w:color w:val="2D2D2D"/>
          <w:szCs w:val="28"/>
          <w:bdr w:val="none" w:sz="0" w:space="0" w:color="auto" w:frame="1"/>
          <w:lang w:val="es-MX" w:eastAsia="es-ES"/>
        </w:rPr>
        <w:t xml:space="preserve">En el </w:t>
      </w:r>
      <w:r w:rsidRPr="00624311">
        <w:rPr>
          <w:rFonts w:eastAsia="Times New Roman" w:cs="Times New Roman"/>
          <w:b/>
          <w:color w:val="2D2D2D"/>
          <w:szCs w:val="28"/>
          <w:bdr w:val="none" w:sz="0" w:space="0" w:color="auto" w:frame="1"/>
          <w:lang w:val="es-MX" w:eastAsia="es-ES"/>
        </w:rPr>
        <w:t>Auto 009 de 2015</w:t>
      </w:r>
      <w:r>
        <w:rPr>
          <w:rFonts w:eastAsia="Times New Roman" w:cs="Times New Roman"/>
          <w:color w:val="2D2D2D"/>
          <w:szCs w:val="28"/>
          <w:bdr w:val="none" w:sz="0" w:space="0" w:color="auto" w:frame="1"/>
          <w:lang w:val="es-MX" w:eastAsia="es-ES"/>
        </w:rPr>
        <w:t xml:space="preserve">, esta Sala Especial realizó un análisis sobre el cumplimiento de las órdenes </w:t>
      </w:r>
      <w:r w:rsidRPr="00C313E7">
        <w:rPr>
          <w:lang w:val="es-ES_tradnl"/>
        </w:rPr>
        <w:t xml:space="preserve">segunda y tercera del </w:t>
      </w:r>
      <w:r w:rsidRPr="00C313E7">
        <w:rPr>
          <w:b/>
          <w:lang w:val="es-ES_tradnl"/>
        </w:rPr>
        <w:t>Auto 092 de 2008</w:t>
      </w:r>
      <w:r>
        <w:rPr>
          <w:lang w:val="es-ES_tradnl"/>
        </w:rPr>
        <w:t xml:space="preserve">. En esa oportunidad esta Corporación encontró que la violencia sexual persiste como un riesgo de género en contra de las mujeres en situación de desplazamiento forzado, mientras que la respuesta institucional presentaba falencias que impiden avanzar en la superación del ECI. En consecuencia, en este </w:t>
      </w:r>
      <w:r w:rsidR="009A3B9B">
        <w:rPr>
          <w:lang w:val="es-ES_tradnl"/>
        </w:rPr>
        <w:t>A</w:t>
      </w:r>
      <w:r>
        <w:rPr>
          <w:lang w:val="es-ES_tradnl"/>
        </w:rPr>
        <w:t>uto la Corte dictó nuevas órdenes para garantizar la atención, protección y el acceso a la justicia de las sobrevivient</w:t>
      </w:r>
      <w:r w:rsidRPr="00624311">
        <w:rPr>
          <w:lang w:val="es-ES_tradnl"/>
        </w:rPr>
        <w:t xml:space="preserve">es </w:t>
      </w:r>
      <w:r>
        <w:rPr>
          <w:lang w:val="es-ES_tradnl"/>
        </w:rPr>
        <w:t>a estos delitos.</w:t>
      </w:r>
    </w:p>
    <w:p w14:paraId="5919F0FB" w14:textId="77777777" w:rsidR="007021A4" w:rsidRDefault="007021A4" w:rsidP="007021A4">
      <w:pPr>
        <w:pStyle w:val="Prrafodelista"/>
        <w:rPr>
          <w:lang w:val="es-ES_tradnl"/>
        </w:rPr>
      </w:pPr>
    </w:p>
    <w:p w14:paraId="533EB196" w14:textId="77777777" w:rsidR="00B3651E" w:rsidRDefault="007021A4" w:rsidP="00B3651E">
      <w:pPr>
        <w:numPr>
          <w:ilvl w:val="0"/>
          <w:numId w:val="2"/>
        </w:numPr>
        <w:tabs>
          <w:tab w:val="left" w:pos="284"/>
        </w:tabs>
        <w:ind w:left="0" w:firstLine="0"/>
        <w:rPr>
          <w:rFonts w:eastAsia="Times New Roman" w:cs="Times New Roman"/>
          <w:color w:val="2D2D2D"/>
          <w:szCs w:val="28"/>
          <w:bdr w:val="none" w:sz="0" w:space="0" w:color="auto" w:frame="1"/>
          <w:lang w:val="es-MX" w:eastAsia="es-ES"/>
        </w:rPr>
      </w:pPr>
      <w:r>
        <w:rPr>
          <w:lang w:val="es-ES_tradnl"/>
        </w:rPr>
        <w:t xml:space="preserve">En una etapa más reciente de este proceso de seguimiento, mediante </w:t>
      </w:r>
      <w:r w:rsidRPr="007021A4">
        <w:rPr>
          <w:b/>
          <w:lang w:val="es-ES_tradnl"/>
        </w:rPr>
        <w:t>Auto 737 de 2017</w:t>
      </w:r>
      <w:r>
        <w:rPr>
          <w:lang w:val="es-ES_tradnl"/>
        </w:rPr>
        <w:t xml:space="preserve"> verificó el cumplimiento de las órdenes estructurales dictadas en los </w:t>
      </w:r>
      <w:r w:rsidRPr="007021A4">
        <w:rPr>
          <w:b/>
          <w:lang w:val="es-ES_tradnl"/>
        </w:rPr>
        <w:t>Autos 092 de 2008, 089 de 2013 y 009 de 2015</w:t>
      </w:r>
      <w:r>
        <w:rPr>
          <w:lang w:val="es-ES_tradnl"/>
        </w:rPr>
        <w:t xml:space="preserve">. En concreto, al realizar un diagnóstico fáctico acerca de la situación en que se encuentran las mujeres, jóvenes y niñas víctimas, esta Sala constató un nivel de cumplimento </w:t>
      </w:r>
      <w:r w:rsidRPr="00D304A6">
        <w:rPr>
          <w:lang w:val="es-ES_tradnl"/>
        </w:rPr>
        <w:t>bajo</w:t>
      </w:r>
      <w:r>
        <w:rPr>
          <w:lang w:val="es-ES_tradnl"/>
        </w:rPr>
        <w:t xml:space="preserve"> a sus órdenes; la persistencia del impacto desproporcionado del desplazamiento forzado sobre aquellas; la ausencia del enfoque diferencial en la política pública dispuesta para su atención y protección; y la presencia de bloqueos </w:t>
      </w:r>
      <w:r w:rsidR="00D304A6">
        <w:rPr>
          <w:lang w:val="es-ES_tradnl"/>
        </w:rPr>
        <w:t>institucionales</w:t>
      </w:r>
      <w:r>
        <w:rPr>
          <w:lang w:val="es-ES_tradnl"/>
        </w:rPr>
        <w:t xml:space="preserve"> que impiden constatar una mejora significativa en la situació</w:t>
      </w:r>
      <w:r w:rsidR="00E31FF8">
        <w:rPr>
          <w:lang w:val="es-ES_tradnl"/>
        </w:rPr>
        <w:t>n de este segmento poblacional.</w:t>
      </w:r>
    </w:p>
    <w:p w14:paraId="272FB09E" w14:textId="77777777" w:rsidR="00B3651E" w:rsidRDefault="00B3651E" w:rsidP="00B3651E">
      <w:pPr>
        <w:pStyle w:val="Prrafodelista"/>
        <w:rPr>
          <w:rFonts w:cs="Times New Roman"/>
          <w:szCs w:val="28"/>
          <w:lang w:val="es-ES_tradnl"/>
        </w:rPr>
      </w:pPr>
    </w:p>
    <w:p w14:paraId="6B97712A" w14:textId="1DDD887A" w:rsidR="00785CD6" w:rsidRDefault="009A3B9B" w:rsidP="00785CD6">
      <w:pPr>
        <w:numPr>
          <w:ilvl w:val="0"/>
          <w:numId w:val="2"/>
        </w:numPr>
        <w:tabs>
          <w:tab w:val="left" w:pos="284"/>
        </w:tabs>
        <w:ind w:left="0" w:firstLine="0"/>
        <w:rPr>
          <w:rFonts w:eastAsia="Times New Roman" w:cs="Times New Roman"/>
          <w:color w:val="2D2D2D"/>
          <w:szCs w:val="28"/>
          <w:bdr w:val="none" w:sz="0" w:space="0" w:color="auto" w:frame="1"/>
          <w:lang w:val="es-MX" w:eastAsia="es-ES"/>
        </w:rPr>
      </w:pPr>
      <w:r>
        <w:rPr>
          <w:rFonts w:cs="Times New Roman"/>
          <w:szCs w:val="28"/>
          <w:lang w:val="es-ES_tradnl"/>
        </w:rPr>
        <w:t>En relación con</w:t>
      </w:r>
      <w:r w:rsidR="00C313E7" w:rsidRPr="00B3651E">
        <w:rPr>
          <w:rFonts w:cs="Times New Roman"/>
          <w:szCs w:val="28"/>
          <w:lang w:val="es-ES_tradnl"/>
        </w:rPr>
        <w:t xml:space="preserve"> la situación de los niños, niñas y adolescentes, </w:t>
      </w:r>
      <w:r>
        <w:rPr>
          <w:rFonts w:cs="Times New Roman"/>
          <w:szCs w:val="28"/>
          <w:lang w:val="es-ES_tradnl"/>
        </w:rPr>
        <w:t>la Corte Constitucional</w:t>
      </w:r>
      <w:r w:rsidR="00C313E7" w:rsidRPr="00B3651E">
        <w:rPr>
          <w:rFonts w:cs="Times New Roman"/>
          <w:szCs w:val="28"/>
          <w:lang w:val="es-ES_tradnl"/>
        </w:rPr>
        <w:t xml:space="preserve"> concluyó que el ECI se agudiza respecto a esta población debido al impacto </w:t>
      </w:r>
      <w:r w:rsidR="00396172" w:rsidRPr="00B3651E">
        <w:rPr>
          <w:rFonts w:cs="Times New Roman"/>
          <w:szCs w:val="28"/>
          <w:lang w:val="es-ES_tradnl"/>
        </w:rPr>
        <w:t>desproporcionado</w:t>
      </w:r>
      <w:r w:rsidR="00C313E7" w:rsidRPr="00B3651E">
        <w:rPr>
          <w:rFonts w:cs="Times New Roman"/>
          <w:szCs w:val="28"/>
          <w:lang w:val="es-ES_tradnl"/>
        </w:rPr>
        <w:t xml:space="preserve"> que tienen el conflicto armado y el desplazamiento forzado.</w:t>
      </w:r>
      <w:r w:rsidR="00E31FF8" w:rsidRPr="00B3651E">
        <w:rPr>
          <w:rFonts w:cs="Times New Roman"/>
          <w:szCs w:val="28"/>
          <w:lang w:val="es-ES_tradnl"/>
        </w:rPr>
        <w:t xml:space="preserve"> Puntualmente, en el </w:t>
      </w:r>
      <w:r w:rsidR="00E31FF8" w:rsidRPr="00B3651E">
        <w:rPr>
          <w:rFonts w:cs="Times New Roman"/>
          <w:b/>
          <w:szCs w:val="28"/>
          <w:lang w:val="es-ES_tradnl"/>
        </w:rPr>
        <w:t>Auto 251 de 2008</w:t>
      </w:r>
      <w:r w:rsidR="00E31FF8" w:rsidRPr="00B3651E">
        <w:rPr>
          <w:rFonts w:cs="Times New Roman"/>
          <w:szCs w:val="28"/>
          <w:lang w:val="es-ES_tradnl"/>
        </w:rPr>
        <w:t>, esta Corporación encontró que</w:t>
      </w:r>
      <w:r w:rsidR="00453972" w:rsidRPr="00B3651E">
        <w:rPr>
          <w:rFonts w:cs="Times New Roman"/>
          <w:szCs w:val="28"/>
          <w:lang w:val="es-ES_tradnl"/>
        </w:rPr>
        <w:t>, a pesar de la invisibilidad de la situaci</w:t>
      </w:r>
      <w:r w:rsidR="00B3651E" w:rsidRPr="00B3651E">
        <w:rPr>
          <w:rFonts w:cs="Times New Roman"/>
          <w:szCs w:val="28"/>
          <w:lang w:val="es-ES_tradnl"/>
        </w:rPr>
        <w:t xml:space="preserve">ón de los menores de edad ante la respuesta estatal, esta población enfrenta una situación constitucionalmente inadmisible y apremiante puesto que afrontan </w:t>
      </w:r>
      <w:r w:rsidR="00B3651E" w:rsidRPr="00B3651E">
        <w:rPr>
          <w:color w:val="000000" w:themeColor="text1"/>
          <w:lang w:val="es-ES_tradnl"/>
        </w:rPr>
        <w:t>múltiples factores que inciden de manera específica en su desplazamiento, al tiempo en que se encuentran expuestos a riesgos especiales. Además, una vez son forzados a desplazarse, deben soportar una serie de problemas transversales diferentes de aquellos que afectan a la población desplazada adulta. Estos problemas, a su turno, se intensifican y empeoran en ciertos ámbitos críticos, lo cual genera una afectación cualitativamente diferencial.</w:t>
      </w:r>
    </w:p>
    <w:p w14:paraId="2BDD5B4F" w14:textId="77777777" w:rsidR="00785CD6" w:rsidRDefault="00785CD6" w:rsidP="00785CD6">
      <w:pPr>
        <w:pStyle w:val="Prrafodelista"/>
        <w:rPr>
          <w:bdr w:val="none" w:sz="0" w:space="0" w:color="auto" w:frame="1"/>
          <w:lang w:val="es-MX" w:eastAsia="es-ES"/>
        </w:rPr>
      </w:pPr>
    </w:p>
    <w:p w14:paraId="6604B3B3" w14:textId="77777777" w:rsidR="0000217E" w:rsidRPr="00A303F4" w:rsidRDefault="00785CD6" w:rsidP="006670DF">
      <w:pPr>
        <w:numPr>
          <w:ilvl w:val="0"/>
          <w:numId w:val="2"/>
        </w:numPr>
        <w:tabs>
          <w:tab w:val="left" w:pos="284"/>
        </w:tabs>
        <w:ind w:left="0" w:firstLine="0"/>
        <w:rPr>
          <w:rFonts w:cs="Times New Roman"/>
          <w:szCs w:val="28"/>
        </w:rPr>
      </w:pPr>
      <w:r w:rsidRPr="00A303F4">
        <w:rPr>
          <w:bdr w:val="none" w:sz="0" w:space="0" w:color="auto" w:frame="1"/>
          <w:lang w:val="es-MX" w:eastAsia="es-ES"/>
        </w:rPr>
        <w:t xml:space="preserve">En el </w:t>
      </w:r>
      <w:r w:rsidRPr="00A303F4">
        <w:rPr>
          <w:b/>
          <w:bdr w:val="none" w:sz="0" w:space="0" w:color="auto" w:frame="1"/>
          <w:lang w:val="es-MX" w:eastAsia="es-ES"/>
        </w:rPr>
        <w:t>Auto 006 de 2009</w:t>
      </w:r>
      <w:r w:rsidRPr="00A303F4">
        <w:rPr>
          <w:bdr w:val="none" w:sz="0" w:space="0" w:color="auto" w:frame="1"/>
          <w:lang w:val="es-MX" w:eastAsia="es-ES"/>
        </w:rPr>
        <w:t xml:space="preserve"> la Corte Constitucional resaltó que las personas con discapacidad en situación de desplazamiento forzado presentan una doble condición de vulnerabilidad e identificó diferentes riesgos acentuados y desproporcionados que esta población enfrenta en el marco del desplazamiento. De igual forma analizó la respuesta estatal y concluyó</w:t>
      </w:r>
      <w:r w:rsidR="009E37BF" w:rsidRPr="00A303F4">
        <w:rPr>
          <w:bdr w:val="none" w:sz="0" w:space="0" w:color="auto" w:frame="1"/>
          <w:lang w:val="es-MX" w:eastAsia="es-ES"/>
        </w:rPr>
        <w:t xml:space="preserve"> que</w:t>
      </w:r>
      <w:r w:rsidR="009E37BF" w:rsidRPr="00A303F4">
        <w:rPr>
          <w:rFonts w:cs="Times New Roman"/>
          <w:szCs w:val="28"/>
        </w:rPr>
        <w:t xml:space="preserve"> no se había incorporado un enfoque diferencial en discapacidad orientado a superar el estado de cosas inconstitucional en lo que respecta a estas víctimas, de conformidad con los mandatos de la Constitución y de las disposiciones internacionales que conforman el bloque de constitucionalidad. </w:t>
      </w:r>
    </w:p>
    <w:p w14:paraId="5D6EB73D" w14:textId="77777777" w:rsidR="0000217E" w:rsidRDefault="0000217E" w:rsidP="007F1EE3">
      <w:pPr>
        <w:tabs>
          <w:tab w:val="left" w:pos="284"/>
        </w:tabs>
        <w:rPr>
          <w:rFonts w:cs="Times New Roman"/>
          <w:szCs w:val="28"/>
        </w:rPr>
      </w:pPr>
    </w:p>
    <w:p w14:paraId="7B78777F" w14:textId="18571263" w:rsidR="007F1EE3" w:rsidRPr="009F5CEA" w:rsidRDefault="00B3651E" w:rsidP="007F1EE3">
      <w:pPr>
        <w:numPr>
          <w:ilvl w:val="0"/>
          <w:numId w:val="2"/>
        </w:numPr>
        <w:tabs>
          <w:tab w:val="left" w:pos="284"/>
        </w:tabs>
        <w:ind w:left="0" w:firstLine="0"/>
        <w:rPr>
          <w:rFonts w:cs="Times New Roman"/>
          <w:szCs w:val="28"/>
        </w:rPr>
      </w:pPr>
      <w:r>
        <w:rPr>
          <w:rFonts w:cs="Times New Roman"/>
          <w:szCs w:val="28"/>
        </w:rPr>
        <w:t>E</w:t>
      </w:r>
      <w:r w:rsidR="007F1EE3" w:rsidRPr="00A05D0A">
        <w:rPr>
          <w:rFonts w:cs="Times New Roman"/>
          <w:szCs w:val="28"/>
        </w:rPr>
        <w:t xml:space="preserve">n los </w:t>
      </w:r>
      <w:r w:rsidRPr="00A05D0A">
        <w:rPr>
          <w:rFonts w:cs="Times New Roman"/>
          <w:b/>
          <w:szCs w:val="28"/>
        </w:rPr>
        <w:t xml:space="preserve">Autos </w:t>
      </w:r>
      <w:r w:rsidR="007F1EE3" w:rsidRPr="00A05D0A">
        <w:rPr>
          <w:rFonts w:cs="Times New Roman"/>
          <w:b/>
          <w:szCs w:val="28"/>
        </w:rPr>
        <w:t>004 y 005 de 2009</w:t>
      </w:r>
      <w:r w:rsidR="007F1EE3" w:rsidRPr="00A05D0A">
        <w:rPr>
          <w:rFonts w:cs="Times New Roman"/>
          <w:szCs w:val="28"/>
        </w:rPr>
        <w:t xml:space="preserve">, la Corte Constitucional ordenó al Gobierno Nacional adelantar distintas acciones para mitigar, de una manera adecuada, el impacto </w:t>
      </w:r>
      <w:r w:rsidR="00D276FB">
        <w:rPr>
          <w:rFonts w:cs="Times New Roman"/>
          <w:szCs w:val="28"/>
        </w:rPr>
        <w:t>generado por el desplazamiento forzado</w:t>
      </w:r>
      <w:r w:rsidR="007F1EE3">
        <w:rPr>
          <w:rFonts w:cs="Times New Roman"/>
          <w:szCs w:val="28"/>
        </w:rPr>
        <w:t xml:space="preserve"> </w:t>
      </w:r>
      <w:r w:rsidR="007F1EE3" w:rsidRPr="00A05D0A">
        <w:rPr>
          <w:rFonts w:cs="Times New Roman"/>
          <w:szCs w:val="28"/>
        </w:rPr>
        <w:t xml:space="preserve">sobre los pueblos indígenas y las comunidades afrodescendientes y que, como consecuencia, ponía en peligro su pervivencia física y cultural. Para ser tratadas acorde con su condición de sujetos de especial protección constitucional, tales acciones no solo involucraban un elemento de consulta de las decisiones que directamente los afectaban, sino que la respuesta gubernamental además debía considerar sus necesidades y situaciones particulares. </w:t>
      </w:r>
    </w:p>
    <w:p w14:paraId="578D4942" w14:textId="77777777" w:rsidR="007F1EE3" w:rsidRPr="00DA5C79" w:rsidRDefault="007F1EE3" w:rsidP="007F1EE3"/>
    <w:p w14:paraId="62404835" w14:textId="796C0F03" w:rsidR="007F1EE3" w:rsidRDefault="0000217E" w:rsidP="007F1EE3">
      <w:pPr>
        <w:numPr>
          <w:ilvl w:val="0"/>
          <w:numId w:val="2"/>
        </w:numPr>
        <w:tabs>
          <w:tab w:val="left" w:pos="284"/>
        </w:tabs>
        <w:ind w:left="0" w:firstLine="0"/>
        <w:rPr>
          <w:rFonts w:cs="Times New Roman"/>
          <w:szCs w:val="28"/>
        </w:rPr>
      </w:pPr>
      <w:r>
        <w:rPr>
          <w:rFonts w:cs="Times New Roman"/>
          <w:szCs w:val="28"/>
        </w:rPr>
        <w:t>L</w:t>
      </w:r>
      <w:r w:rsidR="007F1EE3">
        <w:rPr>
          <w:rFonts w:cs="Times New Roman"/>
          <w:szCs w:val="28"/>
        </w:rPr>
        <w:t>uego de advertir que el pueblo indígena Awá (</w:t>
      </w:r>
      <w:r w:rsidR="00471313">
        <w:rPr>
          <w:rFonts w:cs="Times New Roman"/>
          <w:szCs w:val="28"/>
        </w:rPr>
        <w:t xml:space="preserve">ubicado en los Departamentos de </w:t>
      </w:r>
      <w:r w:rsidR="007F1EE3">
        <w:rPr>
          <w:rFonts w:cs="Times New Roman"/>
          <w:szCs w:val="28"/>
        </w:rPr>
        <w:t xml:space="preserve">Nariño y Putumayo) continuaba padeciendo una grave crisis humanitaria producto de diferentes problemáticas, entre ellas, la presencia de cultivos ilícitos y de actores armados pertenecientes a grupos ilegales, sumado a las condiciones de extrema pobreza, la ausencia de inversión social y en infraestructura por parte de las autoridades, y la expansión de fronteras agrícolas con cultivos de uso lícito e ilícito, la Corte, mediante </w:t>
      </w:r>
      <w:r w:rsidR="00B3651E">
        <w:rPr>
          <w:rFonts w:cs="Times New Roman"/>
          <w:b/>
          <w:szCs w:val="28"/>
        </w:rPr>
        <w:t xml:space="preserve">Auto </w:t>
      </w:r>
      <w:r w:rsidR="007F1EE3">
        <w:rPr>
          <w:rFonts w:cs="Times New Roman"/>
          <w:b/>
          <w:szCs w:val="28"/>
        </w:rPr>
        <w:t>174 de 2011,</w:t>
      </w:r>
      <w:r w:rsidR="007F1EE3">
        <w:rPr>
          <w:rFonts w:cs="Times New Roman"/>
          <w:szCs w:val="28"/>
        </w:rPr>
        <w:t xml:space="preserve"> ordenó al Gobierno Nacional la adopción de medidas cautelares urgentes para proteger los derechos individuales y colectivos de este pueblo. </w:t>
      </w:r>
    </w:p>
    <w:p w14:paraId="571F1449" w14:textId="77777777" w:rsidR="007F1EE3" w:rsidRPr="00DA5C79" w:rsidRDefault="007F1EE3" w:rsidP="007F1EE3"/>
    <w:p w14:paraId="5E5A1819" w14:textId="77777777" w:rsidR="0000217E" w:rsidRDefault="007F1EE3" w:rsidP="0000217E">
      <w:pPr>
        <w:numPr>
          <w:ilvl w:val="0"/>
          <w:numId w:val="2"/>
        </w:numPr>
        <w:tabs>
          <w:tab w:val="left" w:pos="284"/>
        </w:tabs>
        <w:ind w:left="0" w:firstLine="0"/>
        <w:rPr>
          <w:rFonts w:cs="Times New Roman"/>
          <w:szCs w:val="28"/>
        </w:rPr>
      </w:pPr>
      <w:r w:rsidRPr="00471C4D">
        <w:t xml:space="preserve">Asimismo, en el </w:t>
      </w:r>
      <w:r w:rsidR="00B3651E" w:rsidRPr="002B1312">
        <w:rPr>
          <w:b/>
        </w:rPr>
        <w:t xml:space="preserve">Auto </w:t>
      </w:r>
      <w:r w:rsidRPr="002B1312">
        <w:rPr>
          <w:b/>
        </w:rPr>
        <w:t>073 de 2014</w:t>
      </w:r>
      <w:r w:rsidRPr="00471C4D">
        <w:t xml:space="preserve">, esta Corporación encontró que los derechos </w:t>
      </w:r>
      <w:r w:rsidRPr="002B1312">
        <w:rPr>
          <w:i/>
        </w:rPr>
        <w:t>“fundamentales individuales y colectivos de las personas y comunidades afrodescendientes ubicadas en los municipios de la región pacífica del departamento de Nariño</w:t>
      </w:r>
      <w:r w:rsidRPr="00471C4D">
        <w:rPr>
          <w:rStyle w:val="Refdenotaalpie"/>
          <w:rFonts w:eastAsia="Times New Roman" w:cs="Times New Roman"/>
          <w:szCs w:val="28"/>
          <w:lang w:eastAsia="es-ES"/>
        </w:rPr>
        <w:footnoteReference w:id="4"/>
      </w:r>
      <w:r w:rsidRPr="002B1312">
        <w:rPr>
          <w:i/>
        </w:rPr>
        <w:t>, víctimas de desplazamiento forzado, confinamiento y resistencia, continúan siendo masiva y sistemáticamente desconocidos; y que las personas y comunidades de la región se encuentran en una situación de riesgo agravado frente a nuevos desplazamientos, producto del contexto de conflicto armado, de violencia generalizada y de sus factores asociados, que se vive en sus territorios colectivos y ancestrales”</w:t>
      </w:r>
      <w:r w:rsidRPr="00471C4D">
        <w:t xml:space="preserve">. </w:t>
      </w:r>
    </w:p>
    <w:p w14:paraId="415B6048" w14:textId="77777777" w:rsidR="0000217E" w:rsidRDefault="0000217E" w:rsidP="0000217E">
      <w:pPr>
        <w:pStyle w:val="Prrafodelista"/>
      </w:pPr>
    </w:p>
    <w:p w14:paraId="698984E4" w14:textId="77777777" w:rsidR="0000217E" w:rsidRPr="0000217E" w:rsidRDefault="007F1EE3" w:rsidP="0000217E">
      <w:pPr>
        <w:tabs>
          <w:tab w:val="left" w:pos="284"/>
        </w:tabs>
        <w:rPr>
          <w:rFonts w:cs="Times New Roman"/>
          <w:szCs w:val="28"/>
        </w:rPr>
      </w:pPr>
      <w:r w:rsidRPr="00471C4D">
        <w:t xml:space="preserve">En consecuencia, esta Corporación ordenó diferentes acciones encaminadas a  impulsar el cumplimiento del </w:t>
      </w:r>
      <w:r w:rsidR="00B3651E" w:rsidRPr="0000217E">
        <w:rPr>
          <w:b/>
        </w:rPr>
        <w:t xml:space="preserve">Auto </w:t>
      </w:r>
      <w:r w:rsidRPr="0000217E">
        <w:rPr>
          <w:b/>
        </w:rPr>
        <w:t>005 de 2009</w:t>
      </w:r>
      <w:r w:rsidRPr="00471C4D">
        <w:t xml:space="preserve"> en el pacífico nariñense</w:t>
      </w:r>
      <w:r>
        <w:t>, que fueran acordes con</w:t>
      </w:r>
      <w:r w:rsidRPr="00471C4D">
        <w:t xml:space="preserve"> los cambios normativos originados con la entrada en vigencia de la Ley 1448 de 2011, sus decretos reglamentarios y el Decreto 4635 de 2011</w:t>
      </w:r>
      <w:r w:rsidRPr="00471C4D">
        <w:rPr>
          <w:rStyle w:val="Refdenotaalpie"/>
        </w:rPr>
        <w:footnoteReference w:id="5"/>
      </w:r>
      <w:r>
        <w:t>;</w:t>
      </w:r>
      <w:r w:rsidRPr="00471C4D">
        <w:t xml:space="preserve"> así como al derecho a la participación y la consulta previa. Igualmente, ordenó la adopción de medidas específicas para la protección de las comunidades </w:t>
      </w:r>
      <w:r>
        <w:t>afrodescendientes</w:t>
      </w:r>
      <w:r w:rsidRPr="00471C4D">
        <w:t xml:space="preserve"> del pacífico nariñense, dada su situación de riesgo y vulnerabilidad.</w:t>
      </w:r>
    </w:p>
    <w:p w14:paraId="5BBC1DC1" w14:textId="77777777" w:rsidR="00BF6D76" w:rsidRDefault="00BF6D76" w:rsidP="007F1EE3">
      <w:pPr>
        <w:rPr>
          <w:rFonts w:cs="Times New Roman"/>
          <w:szCs w:val="28"/>
        </w:rPr>
      </w:pPr>
    </w:p>
    <w:p w14:paraId="5ACE69C6" w14:textId="77777777" w:rsidR="00BF6D76" w:rsidRDefault="00BF6D76" w:rsidP="00CF682E">
      <w:pPr>
        <w:numPr>
          <w:ilvl w:val="0"/>
          <w:numId w:val="2"/>
        </w:numPr>
        <w:tabs>
          <w:tab w:val="left" w:pos="284"/>
        </w:tabs>
        <w:ind w:left="0" w:firstLine="0"/>
      </w:pPr>
      <w:r>
        <w:t xml:space="preserve">De manera reciente, esta Sala Especial de Seguimiento realizó una nueva evaluación de los avances, rezagos y retrocesos en la superación del ECI en el marco del seguimiento a las  órdenes dictadas para la protección de los pueblos y comunidades indígenas y afrodescendientes afectados por el desplazamiento forzado. En concreto, mediante </w:t>
      </w:r>
      <w:r w:rsidRPr="00A857BA">
        <w:rPr>
          <w:b/>
        </w:rPr>
        <w:t>Auto 266 de 2017</w:t>
      </w:r>
      <w:r>
        <w:t xml:space="preserve">, se constató un </w:t>
      </w:r>
      <w:r w:rsidRPr="00A857BA">
        <w:rPr>
          <w:b/>
          <w:i/>
        </w:rPr>
        <w:t>nivel bajo</w:t>
      </w:r>
      <w:r>
        <w:t xml:space="preserve"> en el cumplimiento por parte del Gobierno Nacional; la persistencia de riesgos y afectaciones a los derechos a la autonomía, identidad cultural y los derechos territoriales, así como fallas en el componente de registro y caracterización de los pueblos indígenas; encontró que dicha situación obedecía a la presencia de </w:t>
      </w:r>
      <w:r w:rsidRPr="00A857BA">
        <w:rPr>
          <w:b/>
          <w:i/>
        </w:rPr>
        <w:t>bloqueos institucionales</w:t>
      </w:r>
      <w:r>
        <w:t xml:space="preserve"> y </w:t>
      </w:r>
      <w:r w:rsidRPr="00A857BA">
        <w:rPr>
          <w:b/>
          <w:i/>
        </w:rPr>
        <w:t>prácticas inconstitucionales</w:t>
      </w:r>
      <w:r>
        <w:t xml:space="preserve"> y; en consecuencia, evidenció que Estado de Cosas Inconstitucional respecto de los derechos de los pueblos indígenas </w:t>
      </w:r>
      <w:r w:rsidR="00A857BA">
        <w:t xml:space="preserve">y las comunidades afrodescendientes </w:t>
      </w:r>
      <w:r>
        <w:t xml:space="preserve">persiste, razón por la cual dictó nuevas órdenes para superar dicha situación. </w:t>
      </w:r>
    </w:p>
    <w:p w14:paraId="3BBCCA04" w14:textId="77777777" w:rsidR="00A857BA" w:rsidRDefault="00A857BA" w:rsidP="00A857BA">
      <w:pPr>
        <w:tabs>
          <w:tab w:val="left" w:pos="284"/>
        </w:tabs>
      </w:pPr>
    </w:p>
    <w:p w14:paraId="549EC34F" w14:textId="631084BA" w:rsidR="0000217E" w:rsidRDefault="00BF6D76" w:rsidP="0096004F">
      <w:pPr>
        <w:numPr>
          <w:ilvl w:val="0"/>
          <w:numId w:val="2"/>
        </w:numPr>
        <w:tabs>
          <w:tab w:val="left" w:pos="284"/>
        </w:tabs>
        <w:ind w:left="0" w:firstLine="0"/>
      </w:pPr>
      <w:r>
        <w:t>Finalmente, como resultado de</w:t>
      </w:r>
      <w:r w:rsidR="00471313">
        <w:t xml:space="preserve"> los informes presentado por </w:t>
      </w:r>
      <w:r w:rsidRPr="00543ED0">
        <w:t>los organismos de control del Estado, el Gobierno Nacional, los Entes Territoriales, la población civil y organismos internacionales</w:t>
      </w:r>
      <w:r w:rsidR="00471313">
        <w:t>; así como de</w:t>
      </w:r>
      <w:r>
        <w:t>la</w:t>
      </w:r>
      <w:r w:rsidRPr="00543ED0">
        <w:t xml:space="preserve"> visita realizada entre el 2 y el 10 de octubre </w:t>
      </w:r>
      <w:r>
        <w:t>de 2017</w:t>
      </w:r>
      <w:r w:rsidRPr="00543ED0">
        <w:t xml:space="preserve">, esta Sala Especial conoció la situación de crisis humanitaria y riesgo permanente que se vive en </w:t>
      </w:r>
      <w:r w:rsidR="00471313">
        <w:t xml:space="preserve">la </w:t>
      </w:r>
      <w:r w:rsidRPr="00543ED0">
        <w:t>región</w:t>
      </w:r>
      <w:r>
        <w:t xml:space="preserve"> Pacífica Nariñense respecto</w:t>
      </w:r>
      <w:r w:rsidRPr="00543ED0">
        <w:t xml:space="preserve"> al desplazamiento forzado, a la violencia generalizada y a sus factores asociados.</w:t>
      </w:r>
      <w:r>
        <w:t xml:space="preserve"> En tal virtud, mediante </w:t>
      </w:r>
      <w:r>
        <w:rPr>
          <w:b/>
        </w:rPr>
        <w:t>Auto</w:t>
      </w:r>
      <w:r w:rsidRPr="00861F9D">
        <w:rPr>
          <w:b/>
        </w:rPr>
        <w:t xml:space="preserve"> 620 de 2017</w:t>
      </w:r>
      <w:r>
        <w:t xml:space="preserve">, la Corte Constitucional adoptó </w:t>
      </w:r>
      <w:r w:rsidRPr="00861F9D">
        <w:rPr>
          <w:lang w:val="es-ES_tradnl"/>
        </w:rPr>
        <w:t xml:space="preserve">medidas de carácter urgente para salvaguardar los derechos a la vida e integridad personal de los miembros de las comunidades afrodescendientes y los </w:t>
      </w:r>
      <w:r w:rsidRPr="00861F9D">
        <w:t xml:space="preserve">pueblos indígenas Awá y </w:t>
      </w:r>
      <w:proofErr w:type="spellStart"/>
      <w:r w:rsidRPr="00861F9D">
        <w:t>Eperara-Siapidaara</w:t>
      </w:r>
      <w:proofErr w:type="spellEnd"/>
      <w:r w:rsidRPr="00861F9D">
        <w:t xml:space="preserve"> que habitan</w:t>
      </w:r>
      <w:r>
        <w:t xml:space="preserve"> esta región. </w:t>
      </w:r>
    </w:p>
    <w:p w14:paraId="69B78EF4" w14:textId="77777777" w:rsidR="0096004F" w:rsidRDefault="0096004F" w:rsidP="0096004F">
      <w:pPr>
        <w:pStyle w:val="Prrafodelista"/>
      </w:pPr>
    </w:p>
    <w:p w14:paraId="41F41E00" w14:textId="0BC0ACBD" w:rsidR="009D5EBD" w:rsidRDefault="0096004F" w:rsidP="009D5EBD">
      <w:pPr>
        <w:numPr>
          <w:ilvl w:val="0"/>
          <w:numId w:val="2"/>
        </w:numPr>
        <w:tabs>
          <w:tab w:val="left" w:pos="284"/>
        </w:tabs>
        <w:ind w:left="0" w:firstLine="0"/>
      </w:pPr>
      <w:r>
        <w:t>En virtud de las órdenes dictadas por esta Corporación en la Sentencia T-025 de 2004 y en los autos sobre su cumplimiento, el Gobierno Nacional, los organismos de control del Estado, los entes territoriales y la sociedad civil, ha</w:t>
      </w:r>
      <w:r w:rsidR="005B2A28">
        <w:t>n</w:t>
      </w:r>
      <w:r>
        <w:t xml:space="preserve"> presentado diferentes informes en torno a la situación de las comunidades de los municipios de Tumaco, Barbacoas y Ricaurte. </w:t>
      </w:r>
      <w:r w:rsidR="00F60C74">
        <w:t>Estos informes constituyen los principales elementos de juicio a partir de los cuales, los magistrados que integran la Sala Especial de Seguimiento adoptan sus decisiones.</w:t>
      </w:r>
    </w:p>
    <w:p w14:paraId="4D2FCD67" w14:textId="77777777" w:rsidR="009D5EBD" w:rsidRDefault="009D5EBD" w:rsidP="009D5EBD">
      <w:pPr>
        <w:pStyle w:val="Prrafodelista"/>
      </w:pPr>
    </w:p>
    <w:p w14:paraId="3DE7B55F" w14:textId="03600081" w:rsidR="009D5EBD" w:rsidRDefault="009D5EBD" w:rsidP="009D5EBD">
      <w:pPr>
        <w:pStyle w:val="Ttulo2"/>
      </w:pPr>
      <w:r>
        <w:t>Solicitud elevada por la Sala de Reconocimiento de Verdad, de Responsabilidad y de Determinación de los Hechos y Conductas</w:t>
      </w:r>
    </w:p>
    <w:p w14:paraId="7D25C5E4" w14:textId="77777777" w:rsidR="009D5EBD" w:rsidRDefault="009D5EBD" w:rsidP="009D5EBD">
      <w:pPr>
        <w:pStyle w:val="Prrafodelista"/>
      </w:pPr>
    </w:p>
    <w:p w14:paraId="2D25A780" w14:textId="15001275" w:rsidR="009D5EBD" w:rsidRDefault="00A42C90" w:rsidP="009D5EBD">
      <w:pPr>
        <w:numPr>
          <w:ilvl w:val="0"/>
          <w:numId w:val="2"/>
        </w:numPr>
        <w:tabs>
          <w:tab w:val="left" w:pos="284"/>
        </w:tabs>
        <w:ind w:left="0" w:firstLine="0"/>
      </w:pPr>
      <w:r>
        <w:t xml:space="preserve">En el marco del Caso 002 de 2018, la Sala </w:t>
      </w:r>
      <w:r w:rsidRPr="00A42C90">
        <w:t>de Reconocimiento de Verdad, de Responsabilidad y de Determinación de los Hechos y Conductas</w:t>
      </w:r>
      <w:r w:rsidR="00EB5020">
        <w:t xml:space="preserve"> </w:t>
      </w:r>
      <w:bookmarkStart w:id="1" w:name="_GoBack"/>
      <w:bookmarkEnd w:id="1"/>
      <w:r>
        <w:t>dictó el Auto del 19 de septiembre del año en curso, providencia por medio de la cual solicitó a esta Corporación:</w:t>
      </w:r>
    </w:p>
    <w:p w14:paraId="1897B417" w14:textId="77777777" w:rsidR="00A42C90" w:rsidRDefault="00A42C90" w:rsidP="009D5EBD">
      <w:pPr>
        <w:tabs>
          <w:tab w:val="left" w:pos="284"/>
        </w:tabs>
      </w:pPr>
    </w:p>
    <w:p w14:paraId="0EE4A0FD" w14:textId="77777777" w:rsidR="00A42C90" w:rsidRDefault="00AC6F94" w:rsidP="00AC6F94">
      <w:pPr>
        <w:pStyle w:val="Cita"/>
      </w:pPr>
      <w:r>
        <w:t>“[Remitir]</w:t>
      </w:r>
      <w:r w:rsidR="00A42C90" w:rsidRPr="00A42C90">
        <w:t xml:space="preserve"> a este despacho la información que considere pertinente para efectos de documentar</w:t>
      </w:r>
      <w:r w:rsidR="00A42C90">
        <w:t xml:space="preserve"> </w:t>
      </w:r>
      <w:r w:rsidR="00A42C90" w:rsidRPr="00A42C90">
        <w:t>la violación de derechos contra las poblaciones de los municipios de Barbacoas, Ricaurte y</w:t>
      </w:r>
      <w:r w:rsidR="00A42C90">
        <w:t xml:space="preserve"> </w:t>
      </w:r>
      <w:r w:rsidR="00A42C90" w:rsidRPr="00A42C90">
        <w:t>Tumaco, durante los años 1990 al 1° de diciembre de 2016, presuntamente cometidos por las</w:t>
      </w:r>
      <w:r w:rsidR="00A42C90">
        <w:t xml:space="preserve"> </w:t>
      </w:r>
      <w:r w:rsidR="00A42C90" w:rsidRPr="00A42C90">
        <w:t>FARC-EP y la Fuerza Pública. Y de manera particular, remita los informes, solicitudes,</w:t>
      </w:r>
      <w:r w:rsidR="00A42C90">
        <w:t xml:space="preserve"> </w:t>
      </w:r>
      <w:r w:rsidR="00A42C90" w:rsidRPr="00A42C90">
        <w:t>anexos y demás documentos relevantes que integran los expedientes de los Autos 092 de</w:t>
      </w:r>
      <w:r w:rsidR="00A42C90">
        <w:t xml:space="preserve"> </w:t>
      </w:r>
      <w:r w:rsidR="00A42C90" w:rsidRPr="00A42C90">
        <w:t>2008, Auto 251 de 2008, Auto 004 de 2009, Auto 005 de 2009, Auto 006 de 2009, Auto 174</w:t>
      </w:r>
      <w:r w:rsidR="00A42C90">
        <w:t xml:space="preserve"> </w:t>
      </w:r>
      <w:r w:rsidR="00A42C90" w:rsidRPr="00A42C90">
        <w:t>de 2011, Auto 073 de 2014, Auto 173 de 2014, Auto 009 de 2015 y Auto 620 de 2017, en</w:t>
      </w:r>
      <w:r w:rsidR="00A42C90">
        <w:t xml:space="preserve"> </w:t>
      </w:r>
      <w:r w:rsidR="00A42C90" w:rsidRPr="00A42C90">
        <w:t xml:space="preserve">los cuales se refieran hechos </w:t>
      </w:r>
      <w:proofErr w:type="spellStart"/>
      <w:r w:rsidR="00A42C90" w:rsidRPr="00A42C90">
        <w:t>victimizantes</w:t>
      </w:r>
      <w:proofErr w:type="spellEnd"/>
      <w:r w:rsidR="00A42C90" w:rsidRPr="00A42C90">
        <w:t xml:space="preserve"> específicos contra las poblaciones asentadas en</w:t>
      </w:r>
      <w:r w:rsidR="00A42C90">
        <w:t xml:space="preserve"> </w:t>
      </w:r>
      <w:r w:rsidR="00A42C90" w:rsidRPr="00A42C90">
        <w:t>los municipios de Tumaco, Barbacoas y Ricaurte, durante el periodo temporal de 1990 al 1°</w:t>
      </w:r>
      <w:r w:rsidR="00A42C90">
        <w:t xml:space="preserve"> </w:t>
      </w:r>
      <w:r w:rsidR="00A42C90" w:rsidRPr="00A42C90">
        <w:t>de diciembre de 2016, sobre conductas que sean competencia de esta Jurisdicción</w:t>
      </w:r>
      <w:r>
        <w:t>”</w:t>
      </w:r>
      <w:r w:rsidR="00A42C90" w:rsidRPr="00A42C90">
        <w:t>.</w:t>
      </w:r>
    </w:p>
    <w:p w14:paraId="7400BA16" w14:textId="77777777" w:rsidR="00A42C90" w:rsidRDefault="00A42C90" w:rsidP="009D5EBD">
      <w:pPr>
        <w:tabs>
          <w:tab w:val="left" w:pos="284"/>
        </w:tabs>
      </w:pPr>
    </w:p>
    <w:p w14:paraId="5AEFD653" w14:textId="0B57A1ED" w:rsidR="00AC6F94" w:rsidRPr="00AC6F94" w:rsidRDefault="00561F7D" w:rsidP="009D5EBD">
      <w:pPr>
        <w:numPr>
          <w:ilvl w:val="0"/>
          <w:numId w:val="2"/>
        </w:numPr>
        <w:tabs>
          <w:tab w:val="left" w:pos="284"/>
        </w:tabs>
        <w:ind w:left="0" w:firstLine="0"/>
      </w:pPr>
      <w:r w:rsidRPr="009D5EBD">
        <w:rPr>
          <w:rFonts w:cs="Times New Roman"/>
          <w:color w:val="0D0D0D" w:themeColor="text1" w:themeTint="F2"/>
          <w:szCs w:val="28"/>
        </w:rPr>
        <w:t>Considerando la importancia que revisten dichos documentos y de la necesidad de adoptar medidas pertinentes para la protección y salvaguarda de los derechos de</w:t>
      </w:r>
      <w:r w:rsidR="00AC6F94">
        <w:rPr>
          <w:rFonts w:cs="Times New Roman"/>
          <w:color w:val="0D0D0D" w:themeColor="text1" w:themeTint="F2"/>
          <w:szCs w:val="28"/>
        </w:rPr>
        <w:t xml:space="preserve"> la población de los municipios de Tumaco, Barbacoas y Ricaurte (Nariño), se remitirá una copia en medio digital de los documentos allegados a esta Sala Especial en el marco del seguimiento al cumplimiento de la </w:t>
      </w:r>
      <w:r w:rsidR="00AC6F94" w:rsidRPr="00AA0ED4">
        <w:rPr>
          <w:rFonts w:cs="Times New Roman"/>
          <w:b/>
          <w:color w:val="0D0D0D" w:themeColor="text1" w:themeTint="F2"/>
          <w:szCs w:val="28"/>
        </w:rPr>
        <w:t>Sentencia T-025 de 2004</w:t>
      </w:r>
      <w:r w:rsidR="00AC6F94">
        <w:rPr>
          <w:rFonts w:cs="Times New Roman"/>
          <w:color w:val="0D0D0D" w:themeColor="text1" w:themeTint="F2"/>
          <w:szCs w:val="28"/>
        </w:rPr>
        <w:t xml:space="preserve"> y</w:t>
      </w:r>
      <w:r w:rsidR="005E7342">
        <w:rPr>
          <w:rFonts w:cs="Times New Roman"/>
          <w:color w:val="0D0D0D" w:themeColor="text1" w:themeTint="F2"/>
          <w:szCs w:val="28"/>
        </w:rPr>
        <w:t xml:space="preserve"> sus autos complementarios, de acuerdo con la solicitud elevada por </w:t>
      </w:r>
      <w:r w:rsidR="005E7342">
        <w:t xml:space="preserve">Sala </w:t>
      </w:r>
      <w:r w:rsidR="005E7342" w:rsidRPr="00A42C90">
        <w:t>de Reconocimiento de Verdad, de Responsabilidad y de Determinación de los Hechos y Conductas</w:t>
      </w:r>
      <w:r w:rsidR="00AC6F94">
        <w:rPr>
          <w:rFonts w:cs="Times New Roman"/>
          <w:color w:val="0D0D0D" w:themeColor="text1" w:themeTint="F2"/>
          <w:szCs w:val="28"/>
        </w:rPr>
        <w:t xml:space="preserve">. Los cuales se relacionan en el documento anexo a la presente providencia. </w:t>
      </w:r>
    </w:p>
    <w:p w14:paraId="3DFE2391" w14:textId="77777777" w:rsidR="006C6268" w:rsidRPr="00561F7D" w:rsidRDefault="006C6268" w:rsidP="00612301">
      <w:pPr>
        <w:ind w:right="57"/>
        <w:mirrorIndents/>
        <w:rPr>
          <w:rFonts w:cs="Times New Roman"/>
          <w:szCs w:val="28"/>
        </w:rPr>
      </w:pPr>
    </w:p>
    <w:p w14:paraId="59A73D5A" w14:textId="77777777" w:rsidR="005D7AE0" w:rsidRPr="00573A27" w:rsidRDefault="005D7AE0" w:rsidP="005D7AE0">
      <w:pPr>
        <w:rPr>
          <w:rFonts w:cs="Times New Roman"/>
          <w:color w:val="000000" w:themeColor="text1"/>
          <w:szCs w:val="28"/>
        </w:rPr>
      </w:pPr>
      <w:r w:rsidRPr="00573A27">
        <w:rPr>
          <w:rFonts w:cs="Times New Roman"/>
          <w:color w:val="000000" w:themeColor="text1"/>
          <w:szCs w:val="28"/>
        </w:rPr>
        <w:t xml:space="preserve">En mérito de lo expuesto, la suscrita Magistrada, </w:t>
      </w:r>
    </w:p>
    <w:p w14:paraId="7FE99110" w14:textId="77777777" w:rsidR="005D7AE0" w:rsidRPr="00573A27" w:rsidRDefault="005D7AE0" w:rsidP="005D7AE0">
      <w:pPr>
        <w:tabs>
          <w:tab w:val="left" w:pos="6630"/>
        </w:tabs>
        <w:jc w:val="left"/>
        <w:rPr>
          <w:rFonts w:cs="Times New Roman"/>
          <w:color w:val="0D0D0D" w:themeColor="text1" w:themeTint="F2"/>
          <w:szCs w:val="28"/>
        </w:rPr>
      </w:pPr>
      <w:r w:rsidRPr="00573A27">
        <w:rPr>
          <w:rFonts w:cs="Times New Roman"/>
          <w:color w:val="0D0D0D" w:themeColor="text1" w:themeTint="F2"/>
          <w:szCs w:val="28"/>
        </w:rPr>
        <w:tab/>
      </w:r>
    </w:p>
    <w:p w14:paraId="3E6F1E2E" w14:textId="77777777" w:rsidR="005D7AE0" w:rsidRPr="00573A27" w:rsidRDefault="005D7AE0" w:rsidP="005D7AE0">
      <w:pPr>
        <w:jc w:val="center"/>
        <w:rPr>
          <w:rFonts w:cs="Times New Roman"/>
          <w:b/>
          <w:color w:val="0D0D0D" w:themeColor="text1" w:themeTint="F2"/>
          <w:szCs w:val="28"/>
        </w:rPr>
      </w:pPr>
      <w:r w:rsidRPr="00573A27">
        <w:rPr>
          <w:rFonts w:cs="Times New Roman"/>
          <w:b/>
          <w:color w:val="0D0D0D" w:themeColor="text1" w:themeTint="F2"/>
          <w:szCs w:val="28"/>
        </w:rPr>
        <w:t>RESUELVE</w:t>
      </w:r>
    </w:p>
    <w:p w14:paraId="47E59EDB" w14:textId="77777777" w:rsidR="005D7AE0" w:rsidRPr="00573A27" w:rsidRDefault="005D7AE0" w:rsidP="005D7AE0">
      <w:pPr>
        <w:rPr>
          <w:rFonts w:cs="Times New Roman"/>
          <w:b/>
          <w:color w:val="0D0D0D" w:themeColor="text1" w:themeTint="F2"/>
          <w:szCs w:val="28"/>
        </w:rPr>
      </w:pPr>
    </w:p>
    <w:p w14:paraId="4F0C10B9" w14:textId="77777777" w:rsidR="005D7AE0" w:rsidRPr="009B7F11" w:rsidRDefault="002A2BAF" w:rsidP="002E435D">
      <w:pPr>
        <w:ind w:right="57"/>
        <w:mirrorIndents/>
        <w:rPr>
          <w:rFonts w:eastAsia="Times New Roman" w:cs="Times New Roman"/>
          <w:color w:val="0D0D0D" w:themeColor="text1" w:themeTint="F2"/>
          <w:szCs w:val="28"/>
          <w:lang w:eastAsia="es-ES"/>
        </w:rPr>
      </w:pPr>
      <w:r w:rsidRPr="009B7F11">
        <w:rPr>
          <w:rFonts w:cs="Times New Roman"/>
          <w:b/>
          <w:szCs w:val="28"/>
        </w:rPr>
        <w:t>REMITIR</w:t>
      </w:r>
      <w:r w:rsidR="000F2178" w:rsidRPr="009B7F11">
        <w:rPr>
          <w:rFonts w:cs="Times New Roman"/>
          <w:b/>
          <w:szCs w:val="28"/>
        </w:rPr>
        <w:t>,</w:t>
      </w:r>
      <w:r w:rsidRPr="009B7F11">
        <w:rPr>
          <w:rFonts w:cs="Times New Roman"/>
          <w:b/>
          <w:szCs w:val="28"/>
        </w:rPr>
        <w:t xml:space="preserve">  </w:t>
      </w:r>
      <w:r w:rsidRPr="009B7F11">
        <w:rPr>
          <w:rFonts w:cs="Times New Roman"/>
          <w:szCs w:val="28"/>
        </w:rPr>
        <w:t>por medio de la Secretaría General de esta Corporación, a</w:t>
      </w:r>
      <w:r w:rsidR="009B7F11" w:rsidRPr="009B7F11">
        <w:rPr>
          <w:rFonts w:cs="Times New Roman"/>
          <w:szCs w:val="28"/>
        </w:rPr>
        <w:t xml:space="preserve"> </w:t>
      </w:r>
      <w:r w:rsidR="00691A70">
        <w:t xml:space="preserve">la Sala </w:t>
      </w:r>
      <w:r w:rsidR="00691A70" w:rsidRPr="00A42C90">
        <w:t>de Reconocimiento de Verdad, de Responsabilidad y de Determinación de los Hechos y Conductas</w:t>
      </w:r>
      <w:r w:rsidRPr="009B7F11">
        <w:rPr>
          <w:rFonts w:cs="Times New Roman"/>
          <w:szCs w:val="28"/>
        </w:rPr>
        <w:t xml:space="preserve">, una copia digital de los informes relacionados </w:t>
      </w:r>
      <w:r w:rsidR="002E435D" w:rsidRPr="009B7F11">
        <w:rPr>
          <w:rFonts w:cs="Times New Roman"/>
          <w:szCs w:val="28"/>
        </w:rPr>
        <w:t>en</w:t>
      </w:r>
      <w:r w:rsidR="00691A70">
        <w:rPr>
          <w:rFonts w:cs="Times New Roman"/>
          <w:szCs w:val="28"/>
        </w:rPr>
        <w:t xml:space="preserve"> el documento anexo de la presente providencia</w:t>
      </w:r>
      <w:r w:rsidR="002E435D" w:rsidRPr="009B7F11">
        <w:rPr>
          <w:rFonts w:cs="Times New Roman"/>
          <w:szCs w:val="28"/>
        </w:rPr>
        <w:t>.</w:t>
      </w:r>
    </w:p>
    <w:p w14:paraId="1CEA68E5" w14:textId="77777777" w:rsidR="002A2BAF" w:rsidRPr="009B7F11" w:rsidRDefault="002A2BAF" w:rsidP="005D7AE0">
      <w:pPr>
        <w:ind w:right="57"/>
        <w:mirrorIndents/>
        <w:jc w:val="left"/>
        <w:rPr>
          <w:rFonts w:eastAsia="Times New Roman" w:cs="Times New Roman"/>
          <w:color w:val="0D0D0D" w:themeColor="text1" w:themeTint="F2"/>
          <w:szCs w:val="28"/>
          <w:lang w:eastAsia="es-ES"/>
        </w:rPr>
      </w:pPr>
    </w:p>
    <w:p w14:paraId="67C6CAF1" w14:textId="77777777" w:rsidR="005D7AE0" w:rsidRPr="00573A27" w:rsidRDefault="005D7AE0" w:rsidP="005D7AE0">
      <w:pPr>
        <w:ind w:right="57"/>
        <w:mirrorIndents/>
        <w:jc w:val="left"/>
        <w:rPr>
          <w:rFonts w:eastAsia="Times New Roman" w:cs="Times New Roman"/>
          <w:color w:val="0D0D0D" w:themeColor="text1" w:themeTint="F2"/>
          <w:szCs w:val="28"/>
          <w:lang w:eastAsia="es-ES"/>
        </w:rPr>
      </w:pPr>
      <w:r w:rsidRPr="009B7F11">
        <w:rPr>
          <w:rFonts w:eastAsia="Times New Roman" w:cs="Times New Roman"/>
          <w:color w:val="0D0D0D" w:themeColor="text1" w:themeTint="F2"/>
          <w:szCs w:val="28"/>
          <w:lang w:eastAsia="es-ES"/>
        </w:rPr>
        <w:t>Cúmplase,</w:t>
      </w:r>
    </w:p>
    <w:p w14:paraId="506470C4" w14:textId="77777777" w:rsidR="005D7AE0" w:rsidRPr="00573A27" w:rsidRDefault="005D7AE0" w:rsidP="005D7AE0">
      <w:pPr>
        <w:ind w:right="57"/>
        <w:mirrorIndents/>
        <w:jc w:val="center"/>
        <w:rPr>
          <w:rFonts w:eastAsia="Times New Roman" w:cs="Times New Roman"/>
          <w:color w:val="0D0D0D" w:themeColor="text1" w:themeTint="F2"/>
          <w:szCs w:val="28"/>
          <w:lang w:eastAsia="es-ES"/>
        </w:rPr>
      </w:pPr>
    </w:p>
    <w:p w14:paraId="3846FAA7" w14:textId="77777777" w:rsidR="005D7AE0" w:rsidRPr="00573A27" w:rsidRDefault="005D7AE0" w:rsidP="005D7AE0">
      <w:pPr>
        <w:ind w:right="57"/>
        <w:mirrorIndents/>
        <w:jc w:val="center"/>
        <w:rPr>
          <w:rFonts w:eastAsia="Times New Roman" w:cs="Times New Roman"/>
          <w:color w:val="0D0D0D" w:themeColor="text1" w:themeTint="F2"/>
          <w:szCs w:val="28"/>
          <w:lang w:eastAsia="es-ES"/>
        </w:rPr>
      </w:pPr>
    </w:p>
    <w:p w14:paraId="160A9E47" w14:textId="77777777" w:rsidR="005D7AE0" w:rsidRPr="00573A27" w:rsidRDefault="005D7AE0" w:rsidP="005D7AE0">
      <w:pPr>
        <w:ind w:right="57"/>
        <w:mirrorIndents/>
        <w:jc w:val="center"/>
        <w:rPr>
          <w:rFonts w:eastAsia="Times New Roman" w:cs="Times New Roman"/>
          <w:color w:val="0D0D0D" w:themeColor="text1" w:themeTint="F2"/>
          <w:szCs w:val="28"/>
          <w:lang w:eastAsia="es-ES"/>
        </w:rPr>
      </w:pPr>
    </w:p>
    <w:p w14:paraId="3066D9D1" w14:textId="77777777" w:rsidR="005D7AE0" w:rsidRPr="00573A27" w:rsidRDefault="005D7AE0" w:rsidP="005D7AE0">
      <w:pPr>
        <w:ind w:right="57"/>
        <w:mirrorIndents/>
        <w:jc w:val="center"/>
        <w:rPr>
          <w:rFonts w:eastAsia="Times New Roman" w:cs="Times New Roman"/>
          <w:color w:val="0D0D0D" w:themeColor="text1" w:themeTint="F2"/>
          <w:szCs w:val="28"/>
          <w:lang w:eastAsia="es-ES"/>
        </w:rPr>
      </w:pPr>
    </w:p>
    <w:p w14:paraId="74BF0076" w14:textId="77777777" w:rsidR="005D7AE0" w:rsidRPr="00573A27" w:rsidRDefault="005D7AE0" w:rsidP="005D7AE0">
      <w:pPr>
        <w:ind w:right="57"/>
        <w:mirrorIndents/>
        <w:jc w:val="center"/>
        <w:rPr>
          <w:rFonts w:eastAsia="Times New Roman" w:cs="Times New Roman"/>
          <w:color w:val="0D0D0D" w:themeColor="text1" w:themeTint="F2"/>
          <w:szCs w:val="28"/>
          <w:lang w:eastAsia="es-ES"/>
        </w:rPr>
      </w:pPr>
      <w:r w:rsidRPr="00573A27">
        <w:rPr>
          <w:rFonts w:eastAsia="Times New Roman" w:cs="Times New Roman"/>
          <w:b/>
          <w:szCs w:val="28"/>
          <w:lang w:val="es-CO" w:eastAsia="es-ES"/>
        </w:rPr>
        <w:t>GLORIA STELLA ORTIZ DELGADO</w:t>
      </w:r>
    </w:p>
    <w:p w14:paraId="5E81B164" w14:textId="77777777" w:rsidR="005D7AE0" w:rsidRPr="00573A27" w:rsidRDefault="00691A70" w:rsidP="005D7AE0">
      <w:pPr>
        <w:ind w:right="57"/>
        <w:mirrorIndents/>
        <w:jc w:val="center"/>
        <w:rPr>
          <w:rFonts w:eastAsia="Times New Roman" w:cs="Times New Roman"/>
          <w:szCs w:val="28"/>
          <w:lang w:val="es-CO" w:eastAsia="es-ES"/>
        </w:rPr>
      </w:pPr>
      <w:r>
        <w:rPr>
          <w:rFonts w:eastAsia="Times New Roman" w:cs="Times New Roman"/>
          <w:szCs w:val="28"/>
          <w:lang w:val="es-CO" w:eastAsia="es-ES"/>
        </w:rPr>
        <w:t>Magistrada Presidente</w:t>
      </w:r>
      <w:r w:rsidR="005D7AE0" w:rsidRPr="00573A27">
        <w:rPr>
          <w:rFonts w:eastAsia="Times New Roman" w:cs="Times New Roman"/>
          <w:szCs w:val="28"/>
          <w:lang w:val="es-CO" w:eastAsia="es-ES"/>
        </w:rPr>
        <w:t xml:space="preserve">  </w:t>
      </w:r>
    </w:p>
    <w:p w14:paraId="307F335A" w14:textId="77777777" w:rsidR="005D7AE0" w:rsidRPr="00573A27" w:rsidRDefault="005D7AE0" w:rsidP="005D7AE0">
      <w:pPr>
        <w:jc w:val="center"/>
        <w:rPr>
          <w:rFonts w:eastAsia="Calibri" w:cs="Times New Roman"/>
          <w:szCs w:val="28"/>
        </w:rPr>
      </w:pPr>
      <w:r w:rsidRPr="00573A27">
        <w:rPr>
          <w:rFonts w:eastAsia="Calibri" w:cs="Times New Roman"/>
          <w:szCs w:val="28"/>
        </w:rPr>
        <w:t xml:space="preserve">Sala Especial de Seguimiento Sentencia T-025 </w:t>
      </w:r>
      <w:r w:rsidR="00734684">
        <w:rPr>
          <w:rFonts w:eastAsia="Calibri" w:cs="Times New Roman"/>
          <w:szCs w:val="28"/>
        </w:rPr>
        <w:t>d</w:t>
      </w:r>
      <w:r w:rsidRPr="00573A27">
        <w:rPr>
          <w:rFonts w:eastAsia="Calibri" w:cs="Times New Roman"/>
          <w:szCs w:val="28"/>
        </w:rPr>
        <w:t xml:space="preserve">e 2004 </w:t>
      </w:r>
    </w:p>
    <w:p w14:paraId="1AE1DE5C" w14:textId="77777777" w:rsidR="009404A2" w:rsidRDefault="009404A2" w:rsidP="009404A2">
      <w:pPr>
        <w:jc w:val="center"/>
        <w:rPr>
          <w:rFonts w:eastAsia="Calibri" w:cs="Times New Roman"/>
          <w:szCs w:val="28"/>
        </w:rPr>
      </w:pPr>
    </w:p>
    <w:p w14:paraId="661C4104" w14:textId="77777777" w:rsidR="009404A2" w:rsidRDefault="009404A2" w:rsidP="009404A2">
      <w:pPr>
        <w:jc w:val="center"/>
        <w:rPr>
          <w:rFonts w:eastAsia="Calibri" w:cs="Times New Roman"/>
          <w:szCs w:val="28"/>
        </w:rPr>
      </w:pPr>
    </w:p>
    <w:p w14:paraId="64F72F3C" w14:textId="77777777" w:rsidR="009404A2" w:rsidRDefault="009404A2" w:rsidP="009404A2">
      <w:pPr>
        <w:jc w:val="center"/>
        <w:rPr>
          <w:rFonts w:eastAsia="Calibri" w:cs="Times New Roman"/>
          <w:szCs w:val="28"/>
        </w:rPr>
      </w:pPr>
    </w:p>
    <w:p w14:paraId="79DC0981" w14:textId="77777777" w:rsidR="009404A2" w:rsidRPr="00573A27" w:rsidRDefault="009404A2" w:rsidP="009404A2">
      <w:pPr>
        <w:jc w:val="center"/>
        <w:rPr>
          <w:rFonts w:eastAsia="Calibri" w:cs="Times New Roman"/>
          <w:szCs w:val="28"/>
        </w:rPr>
      </w:pPr>
    </w:p>
    <w:p w14:paraId="09658B9C" w14:textId="77777777" w:rsidR="00734684" w:rsidRPr="00734684" w:rsidRDefault="00734684" w:rsidP="00734684">
      <w:pPr>
        <w:jc w:val="center"/>
        <w:rPr>
          <w:rFonts w:cs="Times New Roman"/>
          <w:b/>
          <w:szCs w:val="28"/>
        </w:rPr>
      </w:pPr>
      <w:r w:rsidRPr="00734684">
        <w:rPr>
          <w:rFonts w:cs="Times New Roman"/>
          <w:b/>
          <w:szCs w:val="28"/>
        </w:rPr>
        <w:t>MARTHA VICTORIA SÁCHICA MÉNDEZ</w:t>
      </w:r>
    </w:p>
    <w:p w14:paraId="17A988F6" w14:textId="77777777" w:rsidR="0098430B" w:rsidRPr="00734684" w:rsidRDefault="00734684" w:rsidP="00734684">
      <w:pPr>
        <w:jc w:val="center"/>
      </w:pPr>
      <w:r w:rsidRPr="00734684">
        <w:rPr>
          <w:rFonts w:cs="Times New Roman"/>
          <w:szCs w:val="28"/>
        </w:rPr>
        <w:t>Secretaria General</w:t>
      </w:r>
    </w:p>
    <w:sectPr w:rsidR="0098430B" w:rsidRPr="00734684" w:rsidSect="002342D4">
      <w:headerReference w:type="default" r:id="rId10"/>
      <w:footerReference w:type="default" r:id="rId11"/>
      <w:pgSz w:w="12240" w:h="18720" w:code="14"/>
      <w:pgMar w:top="1417" w:right="1701" w:bottom="1417"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590D6" w14:textId="77777777" w:rsidR="00F86731" w:rsidRDefault="00F86731" w:rsidP="00C401B0">
      <w:r>
        <w:separator/>
      </w:r>
    </w:p>
  </w:endnote>
  <w:endnote w:type="continuationSeparator" w:id="0">
    <w:p w14:paraId="5E1EFFA8" w14:textId="77777777" w:rsidR="00F86731" w:rsidRDefault="00F86731" w:rsidP="00C40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8512456"/>
      <w:docPartObj>
        <w:docPartGallery w:val="Page Numbers (Bottom of Page)"/>
        <w:docPartUnique/>
      </w:docPartObj>
    </w:sdtPr>
    <w:sdtEndPr/>
    <w:sdtContent>
      <w:p w14:paraId="5C5741E3" w14:textId="77777777" w:rsidR="008257E5" w:rsidRDefault="008257E5">
        <w:pPr>
          <w:pStyle w:val="Piedepgina"/>
          <w:jc w:val="right"/>
        </w:pPr>
        <w:r>
          <w:fldChar w:fldCharType="begin"/>
        </w:r>
        <w:r>
          <w:instrText>PAGE   \* MERGEFORMAT</w:instrText>
        </w:r>
        <w:r>
          <w:fldChar w:fldCharType="separate"/>
        </w:r>
        <w:r w:rsidR="00076229">
          <w:rPr>
            <w:noProof/>
          </w:rPr>
          <w:t>2</w:t>
        </w:r>
        <w:r>
          <w:fldChar w:fldCharType="end"/>
        </w:r>
      </w:p>
    </w:sdtContent>
  </w:sdt>
  <w:p w14:paraId="1A879947" w14:textId="77777777" w:rsidR="008257E5" w:rsidRDefault="008257E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A53A0" w14:textId="77777777" w:rsidR="00F86731" w:rsidRDefault="00F86731" w:rsidP="00C401B0">
      <w:r>
        <w:separator/>
      </w:r>
    </w:p>
  </w:footnote>
  <w:footnote w:type="continuationSeparator" w:id="0">
    <w:p w14:paraId="341BB4DA" w14:textId="77777777" w:rsidR="00F86731" w:rsidRDefault="00F86731" w:rsidP="00C401B0">
      <w:r>
        <w:continuationSeparator/>
      </w:r>
    </w:p>
  </w:footnote>
  <w:footnote w:id="1">
    <w:p w14:paraId="23AEE53B" w14:textId="77777777" w:rsidR="00E63140" w:rsidRDefault="00E63140" w:rsidP="00E63140">
      <w:pPr>
        <w:pStyle w:val="Textonotapie"/>
      </w:pPr>
      <w:r>
        <w:rPr>
          <w:rStyle w:val="Refdenotaalpie"/>
        </w:rPr>
        <w:footnoteRef/>
      </w:r>
      <w:r>
        <w:t xml:space="preserve"> </w:t>
      </w:r>
      <w:r w:rsidRPr="001976B3">
        <w:t xml:space="preserve">Acta </w:t>
      </w:r>
      <w:r>
        <w:t xml:space="preserve">de Sala Plena </w:t>
      </w:r>
      <w:r w:rsidRPr="001976B3">
        <w:t>No. 19 del 1° de abril de 2009</w:t>
      </w:r>
      <w:r>
        <w:t>.</w:t>
      </w:r>
    </w:p>
  </w:footnote>
  <w:footnote w:id="2">
    <w:p w14:paraId="079CDEFB" w14:textId="77777777" w:rsidR="00E031B8" w:rsidRPr="00E031B8" w:rsidRDefault="00E031B8">
      <w:pPr>
        <w:pStyle w:val="Textonotapie"/>
        <w:rPr>
          <w:lang w:val="es-ES_tradnl"/>
        </w:rPr>
      </w:pPr>
      <w:r>
        <w:rPr>
          <w:rStyle w:val="Refdenotaalpie"/>
        </w:rPr>
        <w:footnoteRef/>
      </w:r>
      <w:r>
        <w:t xml:space="preserve"> </w:t>
      </w:r>
      <w:r w:rsidRPr="00E031B8">
        <w:rPr>
          <w:lang w:val="es-ES_tradnl"/>
        </w:rPr>
        <w:t xml:space="preserve">Como consecuencia de esta evaluación, la Corte Constitucional ordenó: (i) el diseño </w:t>
      </w:r>
      <w:r w:rsidR="002838F6">
        <w:rPr>
          <w:lang w:val="es-ES_tradnl"/>
        </w:rPr>
        <w:t>de 13</w:t>
      </w:r>
      <w:r w:rsidRPr="00E031B8">
        <w:rPr>
          <w:lang w:val="es-ES_tradnl"/>
        </w:rPr>
        <w:t xml:space="preserve"> programas específicos para colmar los vacíos críticos en materia de género en la política pública de atención al desplazamiento forzado en el país, de tal manera que se contrarresten efectivamente los riesgos de género en el conflicto armado y las facetas de género del desplazamiento forzado; (ii) el establecimiento de dos presunciones constitucionales que amparan a las mujeres desplazadas; (iii) la adopción de órdenes individuales de protección concreta para 600 mujeres desplazadas en el país; y (iv) la comunicación al Fiscal General de la Nación de numerosos relatos de crímenes sexuales cometidos en el marco del conflicto armado interno colombiano.</w:t>
      </w:r>
    </w:p>
  </w:footnote>
  <w:footnote w:id="3">
    <w:p w14:paraId="2822EECB" w14:textId="77777777" w:rsidR="00C313E7" w:rsidRPr="00895593" w:rsidRDefault="00C313E7" w:rsidP="00C313E7">
      <w:pPr>
        <w:pStyle w:val="Textonotapie"/>
        <w:rPr>
          <w:rFonts w:cs="Times New Roman"/>
        </w:rPr>
      </w:pPr>
      <w:r w:rsidRPr="00895593">
        <w:rPr>
          <w:rStyle w:val="Refdenotaalpie"/>
          <w:rFonts w:cs="Times New Roman"/>
        </w:rPr>
        <w:footnoteRef/>
      </w:r>
      <w:r w:rsidRPr="00895593">
        <w:rPr>
          <w:rFonts w:cs="Times New Roman"/>
        </w:rPr>
        <w:t xml:space="preserve"> Corte C</w:t>
      </w:r>
      <w:r>
        <w:rPr>
          <w:rFonts w:cs="Times New Roman"/>
        </w:rPr>
        <w:t>onstitucional. Auto 098 de 2013.</w:t>
      </w:r>
      <w:r w:rsidRPr="00895593">
        <w:rPr>
          <w:rFonts w:cs="Times New Roman"/>
        </w:rPr>
        <w:t xml:space="preserve"> M.P. Luis Ernesto Vargas Silva. Orden primera. </w:t>
      </w:r>
    </w:p>
  </w:footnote>
  <w:footnote w:id="4">
    <w:p w14:paraId="5F2FB0A5" w14:textId="77777777" w:rsidR="007F1EE3" w:rsidRPr="00B63316" w:rsidRDefault="007F1EE3" w:rsidP="007F1EE3">
      <w:pPr>
        <w:pStyle w:val="Textonotapie"/>
      </w:pPr>
      <w:r w:rsidRPr="00B63316">
        <w:rPr>
          <w:rStyle w:val="Refdenotaalpie"/>
        </w:rPr>
        <w:footnoteRef/>
      </w:r>
      <w:r w:rsidRPr="00B63316">
        <w:t xml:space="preserve"> </w:t>
      </w:r>
      <w:r>
        <w:t>Particularmente</w:t>
      </w:r>
      <w:r w:rsidRPr="00B63316">
        <w:t xml:space="preserve"> en El Charco, La Tola, Olaya Herrera –</w:t>
      </w:r>
      <w:proofErr w:type="spellStart"/>
      <w:r w:rsidRPr="00B63316">
        <w:t>Satinga</w:t>
      </w:r>
      <w:proofErr w:type="spellEnd"/>
      <w:r w:rsidRPr="00B63316">
        <w:t xml:space="preserve">–, Santa Bárbara de </w:t>
      </w:r>
      <w:proofErr w:type="spellStart"/>
      <w:r w:rsidRPr="00B63316">
        <w:t>Iscuandé</w:t>
      </w:r>
      <w:proofErr w:type="spellEnd"/>
      <w:r w:rsidRPr="00B63316">
        <w:t xml:space="preserve">, Mosquera, Barbacoas, </w:t>
      </w:r>
      <w:proofErr w:type="spellStart"/>
      <w:r w:rsidRPr="00B63316">
        <w:t>Magüí</w:t>
      </w:r>
      <w:proofErr w:type="spellEnd"/>
      <w:r w:rsidRPr="00B63316">
        <w:t xml:space="preserve"> Payán, Roberto Payán, Francisco Pizarro –</w:t>
      </w:r>
      <w:proofErr w:type="spellStart"/>
      <w:r w:rsidRPr="00B63316">
        <w:t>Salahonda</w:t>
      </w:r>
      <w:proofErr w:type="spellEnd"/>
      <w:r w:rsidRPr="00B63316">
        <w:t xml:space="preserve">–, Tumaco, Leiva, Rosario, </w:t>
      </w:r>
      <w:proofErr w:type="spellStart"/>
      <w:r w:rsidRPr="00B63316">
        <w:t>Policarpa</w:t>
      </w:r>
      <w:proofErr w:type="spellEnd"/>
      <w:r w:rsidRPr="00B63316">
        <w:t xml:space="preserve"> y </w:t>
      </w:r>
      <w:proofErr w:type="spellStart"/>
      <w:r w:rsidRPr="00B63316">
        <w:t>Cumbitara</w:t>
      </w:r>
      <w:proofErr w:type="spellEnd"/>
      <w:r w:rsidRPr="00B63316">
        <w:t>.</w:t>
      </w:r>
    </w:p>
  </w:footnote>
  <w:footnote w:id="5">
    <w:p w14:paraId="43988E0C" w14:textId="77777777" w:rsidR="007F1EE3" w:rsidRPr="00B63316" w:rsidRDefault="007F1EE3" w:rsidP="007F1EE3">
      <w:pPr>
        <w:pStyle w:val="Textonotapie"/>
      </w:pPr>
      <w:r w:rsidRPr="00B63316">
        <w:rPr>
          <w:rStyle w:val="Refdenotaalpie"/>
        </w:rPr>
        <w:footnoteRef/>
      </w:r>
      <w:r w:rsidRPr="00B63316">
        <w:t xml:space="preserve"> </w:t>
      </w:r>
      <w:r w:rsidRPr="00B63316">
        <w:rPr>
          <w:i/>
        </w:rPr>
        <w:t xml:space="preserve">“Por el cual se dictan medidas de asistencia, atención, reparación integral y de restitución de tierras a las víctimas pertenecientes a comunidades negras, afrocolombianas, raizales y </w:t>
      </w:r>
      <w:proofErr w:type="spellStart"/>
      <w:r w:rsidRPr="00B63316">
        <w:rPr>
          <w:i/>
        </w:rPr>
        <w:t>palenqueras</w:t>
      </w:r>
      <w:proofErr w:type="spellEnd"/>
      <w:r w:rsidRPr="00B63316">
        <w:rPr>
          <w:i/>
        </w:rPr>
        <w:t>”</w:t>
      </w:r>
      <w:r w:rsidRPr="00B63316">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37479" w14:textId="77777777" w:rsidR="004B780B" w:rsidRPr="004B780B" w:rsidRDefault="004B780B" w:rsidP="004B780B">
    <w:pPr>
      <w:pStyle w:val="Encabezado"/>
      <w:jc w:val="right"/>
      <w:rPr>
        <w:i/>
        <w:sz w:val="20"/>
      </w:rPr>
    </w:pPr>
    <w:r w:rsidRPr="004B780B">
      <w:rPr>
        <w:i/>
        <w:sz w:val="20"/>
      </w:rPr>
      <w:t xml:space="preserve">Sala Especial de Seguimiento Sentencia T-025 de 2004 </w:t>
    </w:r>
  </w:p>
  <w:p w14:paraId="29C801C0" w14:textId="77777777" w:rsidR="004B780B" w:rsidRPr="004B780B" w:rsidRDefault="004B780B" w:rsidP="004B780B">
    <w:pPr>
      <w:pStyle w:val="Encabezado"/>
      <w:jc w:val="right"/>
      <w:rPr>
        <w:i/>
        <w:sz w:val="20"/>
      </w:rPr>
    </w:pPr>
    <w:r w:rsidRPr="004B780B">
      <w:rPr>
        <w:i/>
        <w:sz w:val="20"/>
      </w:rPr>
      <w:t>M.P. Gloria Stella Ortiz Delgado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34B44CA0"/>
    <w:lvl w:ilvl="0" w:tplc="D62CF630">
      <w:start w:val="1"/>
      <w:numFmt w:val="decimal"/>
      <w:suff w:val="space"/>
      <w:lvlText w:val="%1."/>
      <w:lvlJc w:val="left"/>
      <w:pPr>
        <w:ind w:left="284" w:firstLine="0"/>
      </w:pPr>
      <w:rPr>
        <w:rFonts w:hint="default"/>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3CB1D6F"/>
    <w:multiLevelType w:val="multilevel"/>
    <w:tmpl w:val="81BED0E8"/>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B240591"/>
    <w:multiLevelType w:val="hybridMultilevel"/>
    <w:tmpl w:val="3A0E85CA"/>
    <w:lvl w:ilvl="0" w:tplc="314471C2">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301"/>
    <w:rsid w:val="0000217E"/>
    <w:rsid w:val="00011143"/>
    <w:rsid w:val="000350F2"/>
    <w:rsid w:val="00041A52"/>
    <w:rsid w:val="0006421E"/>
    <w:rsid w:val="00076229"/>
    <w:rsid w:val="000D7729"/>
    <w:rsid w:val="000E627F"/>
    <w:rsid w:val="000F2178"/>
    <w:rsid w:val="000F5C2C"/>
    <w:rsid w:val="00195F47"/>
    <w:rsid w:val="001C1792"/>
    <w:rsid w:val="001D2E54"/>
    <w:rsid w:val="001D45B8"/>
    <w:rsid w:val="001E59BB"/>
    <w:rsid w:val="0020051C"/>
    <w:rsid w:val="0021030F"/>
    <w:rsid w:val="002342D4"/>
    <w:rsid w:val="002417D3"/>
    <w:rsid w:val="00272DE8"/>
    <w:rsid w:val="002838F6"/>
    <w:rsid w:val="002872D9"/>
    <w:rsid w:val="002A2BAF"/>
    <w:rsid w:val="002C421C"/>
    <w:rsid w:val="002D2C27"/>
    <w:rsid w:val="002E435D"/>
    <w:rsid w:val="0030487D"/>
    <w:rsid w:val="0031130E"/>
    <w:rsid w:val="00315446"/>
    <w:rsid w:val="003235A2"/>
    <w:rsid w:val="0032520F"/>
    <w:rsid w:val="0034194D"/>
    <w:rsid w:val="00395D95"/>
    <w:rsid w:val="00396172"/>
    <w:rsid w:val="004007ED"/>
    <w:rsid w:val="00400A4F"/>
    <w:rsid w:val="00453972"/>
    <w:rsid w:val="00464839"/>
    <w:rsid w:val="00471313"/>
    <w:rsid w:val="004955E9"/>
    <w:rsid w:val="004B780B"/>
    <w:rsid w:val="004D3CC2"/>
    <w:rsid w:val="004F729B"/>
    <w:rsid w:val="00501034"/>
    <w:rsid w:val="00561F7D"/>
    <w:rsid w:val="005716BC"/>
    <w:rsid w:val="00587FDC"/>
    <w:rsid w:val="005B2A28"/>
    <w:rsid w:val="005B489A"/>
    <w:rsid w:val="005D7AE0"/>
    <w:rsid w:val="005E7342"/>
    <w:rsid w:val="005E7692"/>
    <w:rsid w:val="00612301"/>
    <w:rsid w:val="00624311"/>
    <w:rsid w:val="0066619C"/>
    <w:rsid w:val="00673E34"/>
    <w:rsid w:val="006871ED"/>
    <w:rsid w:val="006916E6"/>
    <w:rsid w:val="00691A70"/>
    <w:rsid w:val="006A4FBE"/>
    <w:rsid w:val="006C6268"/>
    <w:rsid w:val="006F6D2B"/>
    <w:rsid w:val="007021A4"/>
    <w:rsid w:val="00703894"/>
    <w:rsid w:val="00734684"/>
    <w:rsid w:val="00742E9B"/>
    <w:rsid w:val="007519BE"/>
    <w:rsid w:val="00755BED"/>
    <w:rsid w:val="00785013"/>
    <w:rsid w:val="00785CD6"/>
    <w:rsid w:val="00790989"/>
    <w:rsid w:val="007C62B6"/>
    <w:rsid w:val="007F1EE3"/>
    <w:rsid w:val="007F44C2"/>
    <w:rsid w:val="00811EF3"/>
    <w:rsid w:val="0082049C"/>
    <w:rsid w:val="008257E5"/>
    <w:rsid w:val="008B27DB"/>
    <w:rsid w:val="008D6004"/>
    <w:rsid w:val="00923F78"/>
    <w:rsid w:val="009339A0"/>
    <w:rsid w:val="009346E3"/>
    <w:rsid w:val="00936253"/>
    <w:rsid w:val="009404A2"/>
    <w:rsid w:val="0096004F"/>
    <w:rsid w:val="009755E3"/>
    <w:rsid w:val="0098430B"/>
    <w:rsid w:val="00986B05"/>
    <w:rsid w:val="00987C1F"/>
    <w:rsid w:val="009A3B9B"/>
    <w:rsid w:val="009B40B4"/>
    <w:rsid w:val="009B7F11"/>
    <w:rsid w:val="009D5EBD"/>
    <w:rsid w:val="009E2623"/>
    <w:rsid w:val="009E32BF"/>
    <w:rsid w:val="009E37BF"/>
    <w:rsid w:val="009E6847"/>
    <w:rsid w:val="009F6D05"/>
    <w:rsid w:val="00A303F4"/>
    <w:rsid w:val="00A42C90"/>
    <w:rsid w:val="00A521B0"/>
    <w:rsid w:val="00A857BA"/>
    <w:rsid w:val="00A97F73"/>
    <w:rsid w:val="00AA0ED4"/>
    <w:rsid w:val="00AB07FA"/>
    <w:rsid w:val="00AC6F94"/>
    <w:rsid w:val="00B312E9"/>
    <w:rsid w:val="00B349F3"/>
    <w:rsid w:val="00B35014"/>
    <w:rsid w:val="00B3651E"/>
    <w:rsid w:val="00B6335F"/>
    <w:rsid w:val="00B9245B"/>
    <w:rsid w:val="00BA1B3C"/>
    <w:rsid w:val="00BA3603"/>
    <w:rsid w:val="00BF6D76"/>
    <w:rsid w:val="00C05C44"/>
    <w:rsid w:val="00C313E7"/>
    <w:rsid w:val="00C32A85"/>
    <w:rsid w:val="00C401B0"/>
    <w:rsid w:val="00C639CA"/>
    <w:rsid w:val="00CE0AE1"/>
    <w:rsid w:val="00D2493A"/>
    <w:rsid w:val="00D276FB"/>
    <w:rsid w:val="00D304A6"/>
    <w:rsid w:val="00D357DA"/>
    <w:rsid w:val="00D43FED"/>
    <w:rsid w:val="00D6305F"/>
    <w:rsid w:val="00D74E4E"/>
    <w:rsid w:val="00D84909"/>
    <w:rsid w:val="00DB541F"/>
    <w:rsid w:val="00DB61EF"/>
    <w:rsid w:val="00DD1427"/>
    <w:rsid w:val="00DF2399"/>
    <w:rsid w:val="00E031B8"/>
    <w:rsid w:val="00E07E40"/>
    <w:rsid w:val="00E31FF8"/>
    <w:rsid w:val="00E63140"/>
    <w:rsid w:val="00E94B2A"/>
    <w:rsid w:val="00EB5020"/>
    <w:rsid w:val="00F11BA2"/>
    <w:rsid w:val="00F60C74"/>
    <w:rsid w:val="00F86731"/>
    <w:rsid w:val="00FB169A"/>
    <w:rsid w:val="00FB5D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CAFA4A"/>
  <w15:chartTrackingRefBased/>
  <w15:docId w15:val="{A201BF9A-4CC7-4B35-A367-50F898763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301"/>
    <w:pPr>
      <w:spacing w:after="0" w:line="240" w:lineRule="auto"/>
      <w:jc w:val="both"/>
    </w:pPr>
    <w:rPr>
      <w:rFonts w:ascii="Times New Roman" w:hAnsi="Times New Roman"/>
      <w:sz w:val="28"/>
    </w:rPr>
  </w:style>
  <w:style w:type="paragraph" w:styleId="Ttulo1">
    <w:name w:val="heading 1"/>
    <w:basedOn w:val="Normal"/>
    <w:next w:val="Normal"/>
    <w:link w:val="Ttulo1Car"/>
    <w:uiPriority w:val="9"/>
    <w:qFormat/>
    <w:rsid w:val="0096004F"/>
    <w:pPr>
      <w:jc w:val="center"/>
      <w:outlineLvl w:val="0"/>
    </w:pPr>
    <w:rPr>
      <w:rFonts w:cs="Times New Roman"/>
      <w:b/>
      <w:color w:val="000000" w:themeColor="text1"/>
      <w:szCs w:val="28"/>
    </w:rPr>
  </w:style>
  <w:style w:type="paragraph" w:styleId="Ttulo2">
    <w:name w:val="heading 2"/>
    <w:basedOn w:val="Normal"/>
    <w:next w:val="Normal"/>
    <w:link w:val="Ttulo2Car"/>
    <w:qFormat/>
    <w:rsid w:val="00987C1F"/>
    <w:pPr>
      <w:keepNext/>
      <w:outlineLvl w:val="1"/>
    </w:pPr>
    <w:rPr>
      <w:rFonts w:eastAsia="Times New Roman" w:cs="Arial"/>
      <w:b/>
      <w:bCs/>
      <w:i/>
      <w:iCs/>
      <w:szCs w:val="28"/>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612301"/>
    <w:pPr>
      <w:spacing w:line="256" w:lineRule="auto"/>
      <w:ind w:left="720"/>
      <w:contextualSpacing/>
    </w:pPr>
  </w:style>
  <w:style w:type="paragraph" w:styleId="Textonotapie">
    <w:name w:val="footnote text"/>
    <w:aliases w:val="Footnote Text Char Char Char Char Char,Footnote Text Char Char Char Char,Footnote reference,FA Fu,Footnote Text Char Char Char,texto de nota al pie,Footnote Text Char Char Char Char Char Char Char Char,texto de nota al,Footnote Text Cha,f"/>
    <w:basedOn w:val="Normal"/>
    <w:link w:val="TextonotapieCar"/>
    <w:uiPriority w:val="99"/>
    <w:unhideWhenUsed/>
    <w:qFormat/>
    <w:rsid w:val="00C401B0"/>
    <w:rPr>
      <w:sz w:val="20"/>
      <w:szCs w:val="20"/>
    </w:rPr>
  </w:style>
  <w:style w:type="character" w:customStyle="1" w:styleId="TextonotapieCar">
    <w:name w:val="Texto nota pie Car"/>
    <w:aliases w:val="Footnote Text Char Char Char Char Char Car1,Footnote Text Char Char Char Char Car1,Footnote reference Car1,FA Fu Car1,Footnote Text Char Char Char Car1,texto de nota al pie Car1,texto de nota al Car,Footnote Text Cha Car,f Car"/>
    <w:basedOn w:val="Fuentedeprrafopredeter"/>
    <w:link w:val="Textonotapie"/>
    <w:uiPriority w:val="99"/>
    <w:rsid w:val="00C401B0"/>
    <w:rPr>
      <w:rFonts w:ascii="Times New Roman" w:hAnsi="Times New Roman"/>
      <w:sz w:val="20"/>
      <w:szCs w:val="20"/>
    </w:rPr>
  </w:style>
  <w:style w:type="character" w:styleId="Refdenotaalpie">
    <w:name w:val="footnote reference"/>
    <w:aliases w:val="Texto de nota al pie,referencia nota al pie,BVI fnr,Footnote symbol,Footnote,Ref,de nota al pie,Footnotes refss,Appel note de bas de page,Footnote Text Char1 Car Car Car Car,Footnote Text Char Char Car Car Car Car,Char Car Car Car Ca"/>
    <w:basedOn w:val="Fuentedeprrafopredeter"/>
    <w:uiPriority w:val="99"/>
    <w:unhideWhenUsed/>
    <w:qFormat/>
    <w:rsid w:val="00C401B0"/>
    <w:rPr>
      <w:vertAlign w:val="superscript"/>
    </w:rPr>
  </w:style>
  <w:style w:type="paragraph" w:styleId="Encabezado">
    <w:name w:val="header"/>
    <w:basedOn w:val="Normal"/>
    <w:link w:val="EncabezadoCar"/>
    <w:uiPriority w:val="99"/>
    <w:unhideWhenUsed/>
    <w:rsid w:val="004B780B"/>
    <w:pPr>
      <w:tabs>
        <w:tab w:val="center" w:pos="4252"/>
        <w:tab w:val="right" w:pos="8504"/>
      </w:tabs>
    </w:pPr>
  </w:style>
  <w:style w:type="character" w:customStyle="1" w:styleId="EncabezadoCar">
    <w:name w:val="Encabezado Car"/>
    <w:basedOn w:val="Fuentedeprrafopredeter"/>
    <w:link w:val="Encabezado"/>
    <w:uiPriority w:val="99"/>
    <w:rsid w:val="004B780B"/>
    <w:rPr>
      <w:rFonts w:ascii="Times New Roman" w:hAnsi="Times New Roman"/>
      <w:sz w:val="28"/>
    </w:rPr>
  </w:style>
  <w:style w:type="paragraph" w:styleId="Piedepgina">
    <w:name w:val="footer"/>
    <w:basedOn w:val="Normal"/>
    <w:link w:val="PiedepginaCar"/>
    <w:uiPriority w:val="99"/>
    <w:unhideWhenUsed/>
    <w:rsid w:val="004B780B"/>
    <w:pPr>
      <w:tabs>
        <w:tab w:val="center" w:pos="4252"/>
        <w:tab w:val="right" w:pos="8504"/>
      </w:tabs>
    </w:pPr>
  </w:style>
  <w:style w:type="character" w:customStyle="1" w:styleId="PiedepginaCar">
    <w:name w:val="Pie de página Car"/>
    <w:basedOn w:val="Fuentedeprrafopredeter"/>
    <w:link w:val="Piedepgina"/>
    <w:uiPriority w:val="99"/>
    <w:rsid w:val="004B780B"/>
    <w:rPr>
      <w:rFonts w:ascii="Times New Roman" w:hAnsi="Times New Roman"/>
      <w:sz w:val="28"/>
    </w:rPr>
  </w:style>
  <w:style w:type="paragraph" w:styleId="Textodeglobo">
    <w:name w:val="Balloon Text"/>
    <w:basedOn w:val="Normal"/>
    <w:link w:val="TextodegloboCar"/>
    <w:uiPriority w:val="99"/>
    <w:semiHidden/>
    <w:unhideWhenUsed/>
    <w:rsid w:val="00D43FE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3FED"/>
    <w:rPr>
      <w:rFonts w:ascii="Segoe UI" w:hAnsi="Segoe UI" w:cs="Segoe UI"/>
      <w:sz w:val="18"/>
      <w:szCs w:val="18"/>
    </w:rPr>
  </w:style>
  <w:style w:type="table" w:styleId="Tablaconcuadrcula">
    <w:name w:val="Table Grid"/>
    <w:basedOn w:val="Tablanormal"/>
    <w:uiPriority w:val="39"/>
    <w:rsid w:val="00B924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1">
    <w:name w:val="Texto nota pie Car1"/>
    <w:aliases w:val="Footnote Text Char Char Char Char Char Car,Footnote Text Char Char Char Char Car,Footnote reference Car,FA Fu Car,Footnote Text Char Char Char Car,texto de nota al pie Car,Footnote Text Char Char Char Char Char Char Char Char Car"/>
    <w:uiPriority w:val="99"/>
    <w:locked/>
    <w:rsid w:val="00E63140"/>
    <w:rPr>
      <w:rFonts w:ascii="Times New Roman" w:eastAsia="Calibri" w:hAnsi="Times New Roman" w:cs="Times New Roman"/>
      <w:sz w:val="20"/>
      <w:szCs w:val="20"/>
      <w:lang w:eastAsia="es-ES"/>
    </w:rPr>
  </w:style>
  <w:style w:type="character" w:customStyle="1" w:styleId="Ttulo2Car">
    <w:name w:val="Título 2 Car"/>
    <w:basedOn w:val="Fuentedeprrafopredeter"/>
    <w:link w:val="Ttulo2"/>
    <w:rsid w:val="00987C1F"/>
    <w:rPr>
      <w:rFonts w:ascii="Times New Roman" w:eastAsia="Times New Roman" w:hAnsi="Times New Roman" w:cs="Arial"/>
      <w:b/>
      <w:bCs/>
      <w:i/>
      <w:iCs/>
      <w:sz w:val="28"/>
      <w:szCs w:val="28"/>
      <w:lang w:val="es-CO" w:eastAsia="es-ES"/>
    </w:rPr>
  </w:style>
  <w:style w:type="character" w:customStyle="1" w:styleId="PrrafodelistaCar">
    <w:name w:val="Párrafo de lista Car"/>
    <w:link w:val="Prrafodelista"/>
    <w:uiPriority w:val="34"/>
    <w:locked/>
    <w:rsid w:val="00BF6D76"/>
    <w:rPr>
      <w:rFonts w:ascii="Times New Roman" w:hAnsi="Times New Roman"/>
      <w:sz w:val="28"/>
    </w:rPr>
  </w:style>
  <w:style w:type="character" w:customStyle="1" w:styleId="Ttulo1Car">
    <w:name w:val="Título 1 Car"/>
    <w:basedOn w:val="Fuentedeprrafopredeter"/>
    <w:link w:val="Ttulo1"/>
    <w:uiPriority w:val="9"/>
    <w:rsid w:val="0096004F"/>
    <w:rPr>
      <w:rFonts w:ascii="Times New Roman" w:hAnsi="Times New Roman" w:cs="Times New Roman"/>
      <w:b/>
      <w:color w:val="000000" w:themeColor="text1"/>
      <w:sz w:val="28"/>
      <w:szCs w:val="28"/>
    </w:rPr>
  </w:style>
  <w:style w:type="paragraph" w:styleId="Sinespaciado">
    <w:name w:val="No Spacing"/>
    <w:uiPriority w:val="1"/>
    <w:qFormat/>
    <w:rsid w:val="009D5EBD"/>
    <w:pPr>
      <w:spacing w:after="0" w:line="240" w:lineRule="auto"/>
      <w:jc w:val="both"/>
    </w:pPr>
    <w:rPr>
      <w:rFonts w:ascii="Times New Roman" w:hAnsi="Times New Roman"/>
      <w:sz w:val="28"/>
    </w:rPr>
  </w:style>
  <w:style w:type="paragraph" w:styleId="Cita">
    <w:name w:val="Quote"/>
    <w:basedOn w:val="Normal"/>
    <w:next w:val="Normal"/>
    <w:link w:val="CitaCar"/>
    <w:uiPriority w:val="29"/>
    <w:qFormat/>
    <w:rsid w:val="00AC6F94"/>
    <w:pPr>
      <w:ind w:left="862"/>
    </w:pPr>
    <w:rPr>
      <w:i/>
      <w:iCs/>
      <w:color w:val="000000" w:themeColor="text1"/>
      <w:sz w:val="24"/>
    </w:rPr>
  </w:style>
  <w:style w:type="character" w:customStyle="1" w:styleId="CitaCar">
    <w:name w:val="Cita Car"/>
    <w:basedOn w:val="Fuentedeprrafopredeter"/>
    <w:link w:val="Cita"/>
    <w:uiPriority w:val="29"/>
    <w:rsid w:val="00AC6F94"/>
    <w:rPr>
      <w:rFonts w:ascii="Times New Roman" w:hAnsi="Times New Roman"/>
      <w:i/>
      <w:iCs/>
      <w:color w:val="000000" w:themeColor="text1"/>
      <w:sz w:val="24"/>
    </w:rPr>
  </w:style>
  <w:style w:type="character" w:styleId="Refdecomentario">
    <w:name w:val="annotation reference"/>
    <w:basedOn w:val="Fuentedeprrafopredeter"/>
    <w:uiPriority w:val="99"/>
    <w:semiHidden/>
    <w:unhideWhenUsed/>
    <w:rsid w:val="009A3B9B"/>
    <w:rPr>
      <w:sz w:val="16"/>
      <w:szCs w:val="16"/>
    </w:rPr>
  </w:style>
  <w:style w:type="paragraph" w:styleId="Textocomentario">
    <w:name w:val="annotation text"/>
    <w:basedOn w:val="Normal"/>
    <w:link w:val="TextocomentarioCar"/>
    <w:uiPriority w:val="99"/>
    <w:semiHidden/>
    <w:unhideWhenUsed/>
    <w:rsid w:val="009A3B9B"/>
    <w:rPr>
      <w:sz w:val="20"/>
      <w:szCs w:val="20"/>
    </w:rPr>
  </w:style>
  <w:style w:type="character" w:customStyle="1" w:styleId="TextocomentarioCar">
    <w:name w:val="Texto comentario Car"/>
    <w:basedOn w:val="Fuentedeprrafopredeter"/>
    <w:link w:val="Textocomentario"/>
    <w:uiPriority w:val="99"/>
    <w:semiHidden/>
    <w:rsid w:val="009A3B9B"/>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9A3B9B"/>
    <w:rPr>
      <w:b/>
      <w:bCs/>
    </w:rPr>
  </w:style>
  <w:style w:type="character" w:customStyle="1" w:styleId="AsuntodelcomentarioCar">
    <w:name w:val="Asunto del comentario Car"/>
    <w:basedOn w:val="TextocomentarioCar"/>
    <w:link w:val="Asuntodelcomentario"/>
    <w:uiPriority w:val="99"/>
    <w:semiHidden/>
    <w:rsid w:val="009A3B9B"/>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87161">
      <w:bodyDiv w:val="1"/>
      <w:marLeft w:val="0"/>
      <w:marRight w:val="0"/>
      <w:marTop w:val="0"/>
      <w:marBottom w:val="0"/>
      <w:divBdr>
        <w:top w:val="none" w:sz="0" w:space="0" w:color="auto"/>
        <w:left w:val="none" w:sz="0" w:space="0" w:color="auto"/>
        <w:bottom w:val="none" w:sz="0" w:space="0" w:color="auto"/>
        <w:right w:val="none" w:sz="0" w:space="0" w:color="auto"/>
      </w:divBdr>
    </w:div>
    <w:div w:id="147672170">
      <w:bodyDiv w:val="1"/>
      <w:marLeft w:val="0"/>
      <w:marRight w:val="0"/>
      <w:marTop w:val="0"/>
      <w:marBottom w:val="0"/>
      <w:divBdr>
        <w:top w:val="none" w:sz="0" w:space="0" w:color="auto"/>
        <w:left w:val="none" w:sz="0" w:space="0" w:color="auto"/>
        <w:bottom w:val="none" w:sz="0" w:space="0" w:color="auto"/>
        <w:right w:val="none" w:sz="0" w:space="0" w:color="auto"/>
      </w:divBdr>
    </w:div>
    <w:div w:id="798838607">
      <w:bodyDiv w:val="1"/>
      <w:marLeft w:val="0"/>
      <w:marRight w:val="0"/>
      <w:marTop w:val="0"/>
      <w:marBottom w:val="0"/>
      <w:divBdr>
        <w:top w:val="none" w:sz="0" w:space="0" w:color="auto"/>
        <w:left w:val="none" w:sz="0" w:space="0" w:color="auto"/>
        <w:bottom w:val="none" w:sz="0" w:space="0" w:color="auto"/>
        <w:right w:val="none" w:sz="0" w:space="0" w:color="auto"/>
      </w:divBdr>
    </w:div>
    <w:div w:id="840196485">
      <w:bodyDiv w:val="1"/>
      <w:marLeft w:val="0"/>
      <w:marRight w:val="0"/>
      <w:marTop w:val="0"/>
      <w:marBottom w:val="0"/>
      <w:divBdr>
        <w:top w:val="none" w:sz="0" w:space="0" w:color="auto"/>
        <w:left w:val="none" w:sz="0" w:space="0" w:color="auto"/>
        <w:bottom w:val="none" w:sz="0" w:space="0" w:color="auto"/>
        <w:right w:val="none" w:sz="0" w:space="0" w:color="auto"/>
      </w:divBdr>
    </w:div>
    <w:div w:id="1050882142">
      <w:bodyDiv w:val="1"/>
      <w:marLeft w:val="0"/>
      <w:marRight w:val="0"/>
      <w:marTop w:val="0"/>
      <w:marBottom w:val="0"/>
      <w:divBdr>
        <w:top w:val="none" w:sz="0" w:space="0" w:color="auto"/>
        <w:left w:val="none" w:sz="0" w:space="0" w:color="auto"/>
        <w:bottom w:val="none" w:sz="0" w:space="0" w:color="auto"/>
        <w:right w:val="none" w:sz="0" w:space="0" w:color="auto"/>
      </w:divBdr>
    </w:div>
    <w:div w:id="1906066762">
      <w:bodyDiv w:val="1"/>
      <w:marLeft w:val="0"/>
      <w:marRight w:val="0"/>
      <w:marTop w:val="0"/>
      <w:marBottom w:val="0"/>
      <w:divBdr>
        <w:top w:val="none" w:sz="0" w:space="0" w:color="auto"/>
        <w:left w:val="none" w:sz="0" w:space="0" w:color="auto"/>
        <w:bottom w:val="none" w:sz="0" w:space="0" w:color="auto"/>
        <w:right w:val="none" w:sz="0" w:space="0" w:color="auto"/>
      </w:divBdr>
    </w:div>
    <w:div w:id="2014454754">
      <w:bodyDiv w:val="1"/>
      <w:marLeft w:val="0"/>
      <w:marRight w:val="0"/>
      <w:marTop w:val="0"/>
      <w:marBottom w:val="0"/>
      <w:divBdr>
        <w:top w:val="none" w:sz="0" w:space="0" w:color="auto"/>
        <w:left w:val="none" w:sz="0" w:space="0" w:color="auto"/>
        <w:bottom w:val="none" w:sz="0" w:space="0" w:color="auto"/>
        <w:right w:val="none" w:sz="0" w:space="0" w:color="auto"/>
      </w:divBdr>
    </w:div>
    <w:div w:id="213694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D9604-C023-4733-A12E-E77F32B60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2277</Words>
  <Characters>12525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Bello</dc:creator>
  <cp:keywords/>
  <dc:description/>
  <cp:lastModifiedBy>Adonorem T025</cp:lastModifiedBy>
  <cp:revision>6</cp:revision>
  <cp:lastPrinted>2018-10-23T21:45:00Z</cp:lastPrinted>
  <dcterms:created xsi:type="dcterms:W3CDTF">2018-10-18T12:14:00Z</dcterms:created>
  <dcterms:modified xsi:type="dcterms:W3CDTF">2018-10-23T21:46:00Z</dcterms:modified>
</cp:coreProperties>
</file>